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99" w:rsidRDefault="00D113B7">
      <w:r>
        <w:t>CPU. 19.5.16.</w:t>
      </w:r>
    </w:p>
    <w:p w:rsidR="00D113B7" w:rsidRPr="002743A4" w:rsidRDefault="00D113B7" w:rsidP="00D113B7">
      <w:pPr>
        <w:jc w:val="center"/>
        <w:rPr>
          <w:b/>
          <w:sz w:val="28"/>
          <w:szCs w:val="28"/>
        </w:rPr>
      </w:pPr>
      <w:r w:rsidRPr="002743A4">
        <w:rPr>
          <w:b/>
          <w:sz w:val="28"/>
          <w:szCs w:val="28"/>
        </w:rPr>
        <w:t>Les sept laïcités françaises</w:t>
      </w:r>
    </w:p>
    <w:p w:rsidR="00D113B7" w:rsidRDefault="00D113B7" w:rsidP="00D113B7">
      <w:pPr>
        <w:jc w:val="center"/>
      </w:pPr>
      <w:r>
        <w:t>Jean Baubérot</w:t>
      </w:r>
    </w:p>
    <w:p w:rsidR="00D113B7" w:rsidRDefault="00D113B7" w:rsidP="00D113B7">
      <w:pPr>
        <w:jc w:val="center"/>
      </w:pPr>
      <w:r>
        <w:t>Groupe Sociétés, Religions, laïcités.</w:t>
      </w:r>
    </w:p>
    <w:p w:rsidR="004F1D5C" w:rsidRDefault="004F1D5C" w:rsidP="00D113B7">
      <w:pPr>
        <w:jc w:val="both"/>
      </w:pPr>
    </w:p>
    <w:p w:rsidR="000442C8" w:rsidRDefault="00D113B7" w:rsidP="00D113B7">
      <w:pPr>
        <w:jc w:val="both"/>
      </w:pPr>
      <w:r>
        <w:t>Je remercie la CPU</w:t>
      </w:r>
      <w:r w:rsidR="00DC7F62">
        <w:t>, et son président,</w:t>
      </w:r>
      <w:r>
        <w:t xml:space="preserve"> de</w:t>
      </w:r>
      <w:r w:rsidR="000442C8">
        <w:t xml:space="preserve"> m’avoir invité à cette</w:t>
      </w:r>
      <w:r w:rsidR="0076482C">
        <w:t xml:space="preserve"> rencontre</w:t>
      </w:r>
      <w:r w:rsidR="000442C8">
        <w:t xml:space="preserve"> qui permet d’aborder, au-delà de l’actualité immédiate, un sujet essentiel de la modernité politique</w:t>
      </w:r>
      <w:r w:rsidR="0076482C">
        <w:t>.</w:t>
      </w:r>
    </w:p>
    <w:p w:rsidR="000442C8" w:rsidRPr="000442C8" w:rsidRDefault="000442C8" w:rsidP="00D113B7">
      <w:pPr>
        <w:jc w:val="both"/>
        <w:rPr>
          <w:i/>
        </w:rPr>
      </w:pPr>
      <w:r w:rsidRPr="000442C8">
        <w:rPr>
          <w:i/>
        </w:rPr>
        <w:t>Laïcité et laïcités</w:t>
      </w:r>
      <w:r w:rsidR="0076482C" w:rsidRPr="000442C8">
        <w:rPr>
          <w:i/>
        </w:rPr>
        <w:t xml:space="preserve"> </w:t>
      </w:r>
    </w:p>
    <w:p w:rsidR="00123B68" w:rsidRDefault="0001568D" w:rsidP="00D113B7">
      <w:pPr>
        <w:jc w:val="both"/>
      </w:pPr>
      <w:r>
        <w:t>Dans la table-ronde</w:t>
      </w:r>
      <w:r w:rsidR="004F1D5C">
        <w:t xml:space="preserve"> qui vient d’avoir lieu</w:t>
      </w:r>
      <w:r w:rsidR="000442C8">
        <w:t>, Hubert Bost a abordé l’émergence, dans nos disciplines, d’une</w:t>
      </w:r>
      <w:r w:rsidR="0042033F">
        <w:t xml:space="preserve"> dialectique entre </w:t>
      </w:r>
      <w:r w:rsidR="00F00EE7">
        <w:t>« </w:t>
      </w:r>
      <w:r w:rsidR="0042033F">
        <w:t>la laïcité</w:t>
      </w:r>
      <w:r w:rsidR="00F00EE7">
        <w:t> »</w:t>
      </w:r>
      <w:r w:rsidR="0042033F">
        <w:t xml:space="preserve"> et </w:t>
      </w:r>
      <w:r w:rsidR="00F00EE7">
        <w:t>« </w:t>
      </w:r>
      <w:r w:rsidR="0042033F">
        <w:t>les laïcités</w:t>
      </w:r>
      <w:r w:rsidR="00F00EE7">
        <w:t> »</w:t>
      </w:r>
      <w:r w:rsidR="00CA5929">
        <w:t>. Effectivement, cette approche</w:t>
      </w:r>
      <w:r w:rsidR="006B6C1F">
        <w:t xml:space="preserve"> est devenue importante</w:t>
      </w:r>
      <w:r>
        <w:t xml:space="preserve"> dans les sciences humaines et sociales</w:t>
      </w:r>
      <w:r w:rsidR="006B6C1F">
        <w:t xml:space="preserve"> depuis 10, 15 ans. Cependant,</w:t>
      </w:r>
      <w:r>
        <w:t xml:space="preserve"> dès</w:t>
      </w:r>
      <w:r w:rsidR="000544EE">
        <w:t xml:space="preserve"> </w:t>
      </w:r>
      <w:r w:rsidR="00CA5929">
        <w:t xml:space="preserve"> 1960, une </w:t>
      </w:r>
      <w:r w:rsidR="0042033F">
        <w:t xml:space="preserve"> manifestation scientifique </w:t>
      </w:r>
      <w:r w:rsidR="006B6C1F">
        <w:t>internationale de 4 semaines avait été</w:t>
      </w:r>
      <w:r w:rsidR="0042033F">
        <w:t xml:space="preserve"> organisée par le Ce</w:t>
      </w:r>
      <w:r w:rsidR="00F00EE7">
        <w:t>ntre de sciences politiques</w:t>
      </w:r>
      <w:r w:rsidR="0042033F">
        <w:t xml:space="preserve"> de l’université de Nice. Son objet : effectuer des études</w:t>
      </w:r>
      <w:r w:rsidR="00CA5929">
        <w:t xml:space="preserve"> comparatives sur différentes «</w:t>
      </w:r>
      <w:r w:rsidR="0042033F">
        <w:t>laïcités</w:t>
      </w:r>
      <w:r w:rsidR="002743A4">
        <w:t> ».</w:t>
      </w:r>
      <w:r w:rsidR="0042033F">
        <w:t> </w:t>
      </w:r>
      <w:r>
        <w:t>Mais, cette initiative était</w:t>
      </w:r>
      <w:r w:rsidR="006B6C1F">
        <w:t xml:space="preserve"> restée assez isolée.</w:t>
      </w:r>
    </w:p>
    <w:p w:rsidR="00077245" w:rsidRDefault="00F00EE7" w:rsidP="000442C8">
      <w:pPr>
        <w:jc w:val="both"/>
      </w:pPr>
      <w:r>
        <w:t>A leur époque,</w:t>
      </w:r>
      <w:r w:rsidR="001517A8">
        <w:t xml:space="preserve"> les pères fondateurs</w:t>
      </w:r>
      <w:r w:rsidR="000544EE">
        <w:t xml:space="preserve"> de la laïcité française avaient</w:t>
      </w:r>
      <w:r w:rsidR="006B6C1F">
        <w:t>, eux,</w:t>
      </w:r>
      <w:r w:rsidR="004B5E17">
        <w:t xml:space="preserve"> insisté sur la pluralité des laïcités. Ferdinand Buisson soulignait l’existence de différentes </w:t>
      </w:r>
      <w:r>
        <w:t xml:space="preserve"> laïcités scolaires</w:t>
      </w:r>
      <w:r w:rsidR="001517A8">
        <w:t>. Le Rapport d’Aristide Briand</w:t>
      </w:r>
      <w:r w:rsidR="004B5E17">
        <w:t>,</w:t>
      </w:r>
      <w:r w:rsidR="001517A8">
        <w:t xml:space="preserve"> au nom de la Commission parlementaire relative à la séparation des Eglises et de l’Etat</w:t>
      </w:r>
      <w:r>
        <w:t>,</w:t>
      </w:r>
      <w:r w:rsidR="001517A8">
        <w:t xml:space="preserve"> comportait </w:t>
      </w:r>
      <w:r>
        <w:t>un  chapitre</w:t>
      </w:r>
      <w:r w:rsidR="0076482C">
        <w:t xml:space="preserve"> sur d</w:t>
      </w:r>
      <w:r w:rsidR="004B5E17">
        <w:t>es laïcités déjà existantes</w:t>
      </w:r>
      <w:r w:rsidR="004F1D5C">
        <w:t xml:space="preserve">. Il </w:t>
      </w:r>
      <w:r w:rsidR="004F1D5C" w:rsidRPr="004F1D5C">
        <w:t xml:space="preserve"> </w:t>
      </w:r>
      <w:r w:rsidR="004F1D5C">
        <w:t>donnait divers exemples de</w:t>
      </w:r>
      <w:r w:rsidR="00F43D18">
        <w:t xml:space="preserve"> divers</w:t>
      </w:r>
      <w:r w:rsidR="004F1D5C">
        <w:t xml:space="preserve"> pays où </w:t>
      </w:r>
      <w:r w:rsidR="004F1D5C" w:rsidRPr="00434753">
        <w:t>« l’État est réellement neutre et laïque ; l’égalité et l’indépendance des cultes sont reconnues ; les Églises sont séparées de l’État ».</w:t>
      </w:r>
      <w:r w:rsidR="004F1D5C" w:rsidRPr="009C2DBD">
        <w:t xml:space="preserve"> </w:t>
      </w:r>
      <w:r w:rsidR="004F1D5C">
        <w:t>Or, ces pages ont été</w:t>
      </w:r>
      <w:r w:rsidR="004B5E17">
        <w:t xml:space="preserve"> suppr</w:t>
      </w:r>
      <w:r w:rsidR="000544EE">
        <w:t>imé</w:t>
      </w:r>
      <w:r w:rsidR="004F1D5C">
        <w:t>es</w:t>
      </w:r>
      <w:r w:rsidR="000544EE">
        <w:t xml:space="preserve"> lors de</w:t>
      </w:r>
      <w:r w:rsidR="0076482C">
        <w:t xml:space="preserve"> la réimpression du</w:t>
      </w:r>
      <w:r w:rsidR="004B5E17">
        <w:t xml:space="preserve"> Rapport par l’Assemblée nationale</w:t>
      </w:r>
      <w:r w:rsidR="00A421E6">
        <w:t>, en 2005</w:t>
      </w:r>
      <w:r w:rsidR="000442C8">
        <w:rPr>
          <w:rStyle w:val="Appelnotedebasdep"/>
        </w:rPr>
        <w:footnoteReference w:id="1"/>
      </w:r>
      <w:r w:rsidR="004B5E17">
        <w:t xml:space="preserve">. </w:t>
      </w:r>
    </w:p>
    <w:p w:rsidR="00685163" w:rsidRDefault="00CA5929" w:rsidP="00D113B7">
      <w:pPr>
        <w:jc w:val="both"/>
      </w:pPr>
      <w:r>
        <w:t xml:space="preserve">On peut </w:t>
      </w:r>
      <w:r w:rsidR="006B6C1F">
        <w:t>analyser</w:t>
      </w:r>
      <w:r w:rsidR="0069486A">
        <w:t xml:space="preserve"> et </w:t>
      </w:r>
      <w:r>
        <w:t>cette insistance et cette suppression</w:t>
      </w:r>
      <w:r w:rsidR="006B6C1F">
        <w:t xml:space="preserve"> comme </w:t>
      </w:r>
      <w:r w:rsidR="004B5E17">
        <w:t>une</w:t>
      </w:r>
      <w:r w:rsidR="00A421E6">
        <w:t xml:space="preserve"> stratégie d’acteurs : lors</w:t>
      </w:r>
      <w:r w:rsidR="004B5E17">
        <w:t xml:space="preserve"> de l’établissement de la laïcité française</w:t>
      </w:r>
      <w:r w:rsidR="00A421E6">
        <w:t>,</w:t>
      </w:r>
      <w:r w:rsidR="004B5E17">
        <w:t xml:space="preserve"> </w:t>
      </w:r>
      <w:r>
        <w:t xml:space="preserve">on souligne l’aspect </w:t>
      </w:r>
      <w:r w:rsidR="00A421E6">
        <w:t>laïque</w:t>
      </w:r>
      <w:r>
        <w:t xml:space="preserve"> de certain</w:t>
      </w:r>
      <w:r w:rsidR="0001568D">
        <w:t>s pays, afin de</w:t>
      </w:r>
      <w:r w:rsidR="004B5E17">
        <w:t xml:space="preserve"> montrer que ce que l’</w:t>
      </w:r>
      <w:r w:rsidR="00F00EE7">
        <w:t>on propose pour la</w:t>
      </w:r>
      <w:r w:rsidR="004B5E17">
        <w:t xml:space="preserve"> France n’a r</w:t>
      </w:r>
      <w:r w:rsidR="006B6C1F">
        <w:t>ien d’exceptionnel</w:t>
      </w:r>
      <w:r w:rsidR="004B5E17">
        <w:t xml:space="preserve">. </w:t>
      </w:r>
      <w:r w:rsidR="00F00EE7">
        <w:t>Selon</w:t>
      </w:r>
      <w:r w:rsidR="006B6C1F">
        <w:t xml:space="preserve"> Briand, avec la loi de séparation</w:t>
      </w:r>
      <w:r w:rsidR="00F00EE7">
        <w:t>,</w:t>
      </w:r>
      <w:r w:rsidR="006B6C1F">
        <w:t xml:space="preserve"> </w:t>
      </w:r>
      <w:r>
        <w:t xml:space="preserve">la France </w:t>
      </w:r>
      <w:r w:rsidR="006B6C1F">
        <w:t>ne fait</w:t>
      </w:r>
      <w:r w:rsidR="004B5E17">
        <w:t xml:space="preserve"> que rejoindre</w:t>
      </w:r>
      <w:r w:rsidR="00077245">
        <w:t xml:space="preserve"> le peloton de</w:t>
      </w:r>
      <w:r w:rsidR="000544EE">
        <w:t>s</w:t>
      </w:r>
      <w:r>
        <w:t xml:space="preserve"> Etats</w:t>
      </w:r>
      <w:r w:rsidR="00077245">
        <w:t xml:space="preserve"> déjà laïques</w:t>
      </w:r>
      <w:r w:rsidR="004F1D5C">
        <w:rPr>
          <w:rStyle w:val="Appelnotedebasdep"/>
        </w:rPr>
        <w:footnoteReference w:id="2"/>
      </w:r>
      <w:r w:rsidR="00077245">
        <w:t>. Mais</w:t>
      </w:r>
      <w:r w:rsidR="006B6C1F">
        <w:t>, maintenant,</w:t>
      </w:r>
      <w:r w:rsidR="0076482C">
        <w:t xml:space="preserve"> si</w:t>
      </w:r>
      <w:r w:rsidR="00077245">
        <w:t xml:space="preserve"> on veut faire de la laïcité une « exception française », on supprime ce qui ne va pas dans ce sens. Cela peut conduire à d’étranges propos</w:t>
      </w:r>
      <w:r w:rsidR="00685163">
        <w:t>. Ainsi</w:t>
      </w:r>
      <w:r w:rsidR="00077245">
        <w:t xml:space="preserve">, </w:t>
      </w:r>
      <w:r w:rsidR="00685163">
        <w:t>un org</w:t>
      </w:r>
      <w:r>
        <w:t>anisme officiel</w:t>
      </w:r>
      <w:r w:rsidR="00685163">
        <w:t xml:space="preserve"> écrivait</w:t>
      </w:r>
      <w:r>
        <w:t>,</w:t>
      </w:r>
      <w:r w:rsidR="00685163">
        <w:t xml:space="preserve"> en 2007, que </w:t>
      </w:r>
      <w:r w:rsidR="00077245">
        <w:t xml:space="preserve">le Mexique </w:t>
      </w:r>
      <w:r w:rsidR="00685163">
        <w:t>av</w:t>
      </w:r>
      <w:r w:rsidR="00077245">
        <w:t>ait</w:t>
      </w:r>
      <w:r w:rsidR="00685163">
        <w:t xml:space="preserve"> imité la loi de 1905</w:t>
      </w:r>
      <w:r>
        <w:t xml:space="preserve"> pour effectuer</w:t>
      </w:r>
      <w:r w:rsidR="00077245">
        <w:t xml:space="preserve"> sa propre sé</w:t>
      </w:r>
      <w:r w:rsidR="00F00EE7">
        <w:t>parati</w:t>
      </w:r>
      <w:r w:rsidR="000C0C79">
        <w:t>on. Petit détail, cette dernière</w:t>
      </w:r>
      <w:r>
        <w:t xml:space="preserve"> date de</w:t>
      </w:r>
      <w:r w:rsidR="00077245">
        <w:t>… 1859</w:t>
      </w:r>
      <w:r w:rsidR="004F1D5C">
        <w:rPr>
          <w:rStyle w:val="Appelnotedebasdep"/>
        </w:rPr>
        <w:footnoteReference w:id="3"/>
      </w:r>
      <w:r w:rsidR="00077245">
        <w:t xml:space="preserve">. </w:t>
      </w:r>
    </w:p>
    <w:p w:rsidR="00077245" w:rsidRDefault="00F00EE7" w:rsidP="00D113B7">
      <w:pPr>
        <w:jc w:val="both"/>
      </w:pPr>
      <w:r>
        <w:t>Pour la</w:t>
      </w:r>
      <w:r w:rsidR="00077245">
        <w:t xml:space="preserve"> </w:t>
      </w:r>
      <w:r>
        <w:t>recherche</w:t>
      </w:r>
      <w:r w:rsidR="00077245">
        <w:t xml:space="preserve">, en tout cas, la cause est </w:t>
      </w:r>
      <w:r w:rsidR="00CA5929">
        <w:t xml:space="preserve">aujourd’hui </w:t>
      </w:r>
      <w:r w:rsidR="00077245">
        <w:t>entendue : une Déclaration int</w:t>
      </w:r>
      <w:r w:rsidR="00A421E6">
        <w:t>ernationale</w:t>
      </w:r>
      <w:r>
        <w:t>,</w:t>
      </w:r>
      <w:r w:rsidR="00077245">
        <w:t xml:space="preserve"> signée par 250 universitaires et chercheurs de 30 pays</w:t>
      </w:r>
      <w:r>
        <w:t>,</w:t>
      </w:r>
      <w:r w:rsidR="00961EF3">
        <w:t xml:space="preserve"> insiste sur la diversité des re</w:t>
      </w:r>
      <w:r w:rsidR="00CA5929">
        <w:t>présentations de la laïcité. Celle-ci</w:t>
      </w:r>
      <w:r w:rsidR="00961EF3">
        <w:t xml:space="preserve"> est</w:t>
      </w:r>
      <w:r w:rsidR="00CA5929">
        <w:t>, selon</w:t>
      </w:r>
      <w:r w:rsidR="00685163">
        <w:t xml:space="preserve"> les signataires,</w:t>
      </w:r>
      <w:r w:rsidR="00961EF3">
        <w:t xml:space="preserve"> « l’apanage d’aucune culture, d’aucune nation, d’aucun </w:t>
      </w:r>
      <w:r w:rsidR="00961EF3">
        <w:lastRenderedPageBreak/>
        <w:t>continent » et « peut exister dans des conjonctures où le terme n’a pas été traditionnellement utilisé »</w:t>
      </w:r>
      <w:r w:rsidR="006459F6">
        <w:rPr>
          <w:rStyle w:val="Appelnotedebasdep"/>
        </w:rPr>
        <w:footnoteReference w:id="4"/>
      </w:r>
      <w:r w:rsidR="00961EF3">
        <w:t>.</w:t>
      </w:r>
    </w:p>
    <w:p w:rsidR="00546047" w:rsidRDefault="00961EF3" w:rsidP="00D113B7">
      <w:pPr>
        <w:jc w:val="both"/>
      </w:pPr>
      <w:r>
        <w:t>Peut-on appliquer ce mouvement dialectique laïcité</w:t>
      </w:r>
      <w:r w:rsidR="00506249">
        <w:t xml:space="preserve"> au singulier</w:t>
      </w:r>
      <w:r>
        <w:t>/laïcités</w:t>
      </w:r>
      <w:r w:rsidR="00506249">
        <w:t xml:space="preserve"> au pluriel</w:t>
      </w:r>
      <w:r>
        <w:t xml:space="preserve"> à la situation française ? </w:t>
      </w:r>
      <w:r w:rsidR="00D365B1">
        <w:t>Quand on lit</w:t>
      </w:r>
      <w:r w:rsidR="005D538E">
        <w:t xml:space="preserve"> les historiens de la loi de 1905</w:t>
      </w:r>
      <w:r w:rsidR="00D365B1">
        <w:t xml:space="preserve">, </w:t>
      </w:r>
      <w:r w:rsidR="00F00EE7">
        <w:t>aussi bien l</w:t>
      </w:r>
      <w:r w:rsidR="00D365B1">
        <w:t xml:space="preserve">es </w:t>
      </w:r>
      <w:r w:rsidR="00A944EA">
        <w:t>études érudites de</w:t>
      </w:r>
      <w:r w:rsidR="00D365B1">
        <w:t xml:space="preserve"> </w:t>
      </w:r>
      <w:r w:rsidR="000544EE">
        <w:t>contemporains</w:t>
      </w:r>
      <w:r w:rsidR="00D365B1">
        <w:t xml:space="preserve"> comme </w:t>
      </w:r>
      <w:r w:rsidR="00506249">
        <w:t xml:space="preserve">Antonin </w:t>
      </w:r>
      <w:r w:rsidR="00D365B1">
        <w:t>Debidour</w:t>
      </w:r>
      <w:r w:rsidR="00B74B0B">
        <w:rPr>
          <w:rStyle w:val="Appelnotedebasdep"/>
        </w:rPr>
        <w:footnoteReference w:id="5"/>
      </w:r>
      <w:r w:rsidR="00A944EA">
        <w:t>,</w:t>
      </w:r>
      <w:r w:rsidR="00D365B1">
        <w:t xml:space="preserve"> </w:t>
      </w:r>
      <w:r w:rsidR="00F00EE7">
        <w:t xml:space="preserve"> qu</w:t>
      </w:r>
      <w:r w:rsidR="0076482C">
        <w:t>e d</w:t>
      </w:r>
      <w:r w:rsidR="00A944EA">
        <w:t xml:space="preserve">es travaux qui </w:t>
      </w:r>
      <w:r w:rsidR="005D538E">
        <w:t xml:space="preserve">font </w:t>
      </w:r>
      <w:r w:rsidR="00A421E6">
        <w:t>aujourd’hui</w:t>
      </w:r>
      <w:r w:rsidR="005D538E">
        <w:t xml:space="preserve"> autorité</w:t>
      </w:r>
      <w:r w:rsidR="00D365B1">
        <w:t xml:space="preserve"> comme ceux de </w:t>
      </w:r>
      <w:r w:rsidR="00506249">
        <w:t xml:space="preserve">Maurice </w:t>
      </w:r>
      <w:r w:rsidR="000C0C79">
        <w:t>Larkin</w:t>
      </w:r>
      <w:r w:rsidR="006459F6">
        <w:rPr>
          <w:rStyle w:val="Appelnotedebasdep"/>
        </w:rPr>
        <w:footnoteReference w:id="6"/>
      </w:r>
      <w:r w:rsidR="000C0C79">
        <w:t xml:space="preserve"> ou</w:t>
      </w:r>
      <w:r w:rsidR="00D365B1">
        <w:t xml:space="preserve"> de </w:t>
      </w:r>
      <w:r w:rsidR="00506249">
        <w:t xml:space="preserve">Jean-Marie </w:t>
      </w:r>
      <w:r w:rsidR="00D365B1">
        <w:t>Maye</w:t>
      </w:r>
      <w:r w:rsidR="00A944EA">
        <w:t>ur</w:t>
      </w:r>
      <w:r w:rsidR="00B74B0B">
        <w:rPr>
          <w:rStyle w:val="Appelnotedebasdep"/>
        </w:rPr>
        <w:footnoteReference w:id="7"/>
      </w:r>
      <w:r w:rsidR="00A944EA">
        <w:t>, il est manifeste que des concep</w:t>
      </w:r>
      <w:r w:rsidR="00D365B1">
        <w:t>tions</w:t>
      </w:r>
      <w:r w:rsidR="00A944EA">
        <w:t xml:space="preserve"> </w:t>
      </w:r>
      <w:r w:rsidR="00CA5929">
        <w:t xml:space="preserve">laïques </w:t>
      </w:r>
      <w:r w:rsidR="005D538E">
        <w:t>divergentes ont existé</w:t>
      </w:r>
      <w:r w:rsidR="00D365B1">
        <w:t>.</w:t>
      </w:r>
      <w:r w:rsidR="00506249">
        <w:t xml:space="preserve"> Cependant,</w:t>
      </w:r>
      <w:r w:rsidR="00A944EA">
        <w:t xml:space="preserve"> les historiens n’aiment guère conce</w:t>
      </w:r>
      <w:r w:rsidR="005D538E">
        <w:t>ptualiser ce qu’ils</w:t>
      </w:r>
      <w:r w:rsidR="00A944EA">
        <w:t xml:space="preserve"> analysent.</w:t>
      </w:r>
      <w:r w:rsidR="00D365B1">
        <w:t xml:space="preserve"> Etant également sociologue</w:t>
      </w:r>
      <w:r w:rsidR="00A944EA">
        <w:t>,</w:t>
      </w:r>
      <w:r w:rsidR="00D365B1">
        <w:t xml:space="preserve"> j’</w:t>
      </w:r>
      <w:r w:rsidR="00A944EA">
        <w:t>ai</w:t>
      </w:r>
      <w:r w:rsidR="000C0C79">
        <w:t xml:space="preserve"> construit</w:t>
      </w:r>
      <w:r w:rsidR="005D538E">
        <w:t>,</w:t>
      </w:r>
      <w:r w:rsidR="00A944EA">
        <w:t xml:space="preserve"> à partir de la méthode des idéaux-types, initiée par Max </w:t>
      </w:r>
      <w:r w:rsidR="0076482C">
        <w:t>Weber</w:t>
      </w:r>
      <w:r w:rsidR="000C0C79">
        <w:t>,</w:t>
      </w:r>
      <w:r w:rsidR="000C0C79" w:rsidRPr="000C0C79">
        <w:t xml:space="preserve"> </w:t>
      </w:r>
      <w:r w:rsidR="000C0C79">
        <w:t>une sorte de cartographie des représentations de la laïcité  qui se sont alors affrontées</w:t>
      </w:r>
      <w:r w:rsidR="0076482C">
        <w:t>. J’ai étudié ensuite les</w:t>
      </w:r>
      <w:r w:rsidR="00A944EA">
        <w:t xml:space="preserve"> filiations</w:t>
      </w:r>
      <w:r w:rsidR="0076482C">
        <w:t xml:space="preserve"> de ces conceptions</w:t>
      </w:r>
      <w:r w:rsidR="00A944EA">
        <w:t xml:space="preserve"> </w:t>
      </w:r>
      <w:r w:rsidR="00506249">
        <w:t xml:space="preserve">jusqu’à </w:t>
      </w:r>
      <w:r w:rsidR="00A944EA">
        <w:t>aujourd’</w:t>
      </w:r>
      <w:r w:rsidR="0076482C">
        <w:t>hui</w:t>
      </w:r>
      <w:r w:rsidR="000C0C79">
        <w:t>,</w:t>
      </w:r>
      <w:r w:rsidR="0076482C">
        <w:t xml:space="preserve"> ainsi que l</w:t>
      </w:r>
      <w:r w:rsidR="00A944EA">
        <w:t>es représentations nouvelles qui se sont ajoutées.</w:t>
      </w:r>
    </w:p>
    <w:p w:rsidR="00961EF3" w:rsidRDefault="00F00EE7" w:rsidP="00D113B7">
      <w:pPr>
        <w:jc w:val="both"/>
      </w:pPr>
      <w:r>
        <w:t>J</w:t>
      </w:r>
      <w:r w:rsidR="00A944EA">
        <w:t>’</w:t>
      </w:r>
      <w:r>
        <w:t>ai</w:t>
      </w:r>
      <w:r w:rsidR="00506249">
        <w:t xml:space="preserve"> </w:t>
      </w:r>
      <w:r w:rsidR="00A944EA">
        <w:t>effectué ce travail dans le cadre d</w:t>
      </w:r>
      <w:r w:rsidR="000544EE">
        <w:t>’un</w:t>
      </w:r>
      <w:r>
        <w:t xml:space="preserve"> cours</w:t>
      </w:r>
      <w:r w:rsidR="000544EE">
        <w:t xml:space="preserve"> donné</w:t>
      </w:r>
      <w:r>
        <w:t xml:space="preserve"> à</w:t>
      </w:r>
      <w:r w:rsidR="00A944EA">
        <w:t xml:space="preserve"> l’Université de Tokyo</w:t>
      </w:r>
      <w:r w:rsidR="00657A4D">
        <w:t xml:space="preserve"> avant d’en faire un ouvrage</w:t>
      </w:r>
      <w:r w:rsidR="00546047">
        <w:rPr>
          <w:rStyle w:val="Appelnotedebasdep"/>
        </w:rPr>
        <w:footnoteReference w:id="8"/>
      </w:r>
      <w:r>
        <w:t xml:space="preserve">. </w:t>
      </w:r>
      <w:r w:rsidR="006C2FE3">
        <w:t>Cette précision n’est pas anecdoti</w:t>
      </w:r>
      <w:r w:rsidR="0001568D">
        <w:t>que : le cadre universitaire</w:t>
      </w:r>
      <w:r w:rsidR="00591509">
        <w:t xml:space="preserve"> favorise la prise de distance</w:t>
      </w:r>
      <w:r w:rsidR="006C2FE3">
        <w:t xml:space="preserve"> avec un débat social passionnel. Les remarques et les questions portent sur </w:t>
      </w:r>
      <w:r w:rsidR="0076482C">
        <w:t>l</w:t>
      </w:r>
      <w:r w:rsidR="00591509">
        <w:t>es standards scientifiques int</w:t>
      </w:r>
      <w:r w:rsidR="0001568D">
        <w:t>ernationaux</w:t>
      </w:r>
      <w:r w:rsidR="00591509">
        <w:t>.</w:t>
      </w:r>
      <w:r w:rsidR="00A421E6">
        <w:t xml:space="preserve"> </w:t>
      </w:r>
      <w:r w:rsidR="00546047">
        <w:t>Et Rita Hermon-Belot l’a indiqué très justement, une part de no</w:t>
      </w:r>
      <w:r w:rsidR="000442C8">
        <w:t>tre rôle</w:t>
      </w:r>
      <w:r w:rsidR="0069486A">
        <w:t xml:space="preserve"> d’enseignant-chercheur</w:t>
      </w:r>
      <w:r w:rsidR="000442C8">
        <w:t xml:space="preserve"> consiste à se dégager des</w:t>
      </w:r>
      <w:r w:rsidR="00546047">
        <w:t xml:space="preserve"> pressions de la demande sociale. </w:t>
      </w:r>
      <w:r w:rsidR="00A421E6">
        <w:t>Je vais donc</w:t>
      </w:r>
      <w:r w:rsidR="005D538E">
        <w:t xml:space="preserve"> présenter</w:t>
      </w:r>
      <w:r w:rsidR="00A421E6">
        <w:t xml:space="preserve"> ici</w:t>
      </w:r>
      <w:r w:rsidR="005D538E">
        <w:t xml:space="preserve"> de façon très succincte  les résultats de ce</w:t>
      </w:r>
      <w:r w:rsidR="00A421E6">
        <w:t>tte</w:t>
      </w:r>
      <w:r w:rsidR="000C0C79">
        <w:t xml:space="preserve"> recherche, sans</w:t>
      </w:r>
      <w:r w:rsidR="005D538E">
        <w:t xml:space="preserve"> pouvo</w:t>
      </w:r>
      <w:r w:rsidR="00A421E6">
        <w:t>ir, faute de temps, expliciter ma démarche  et donner les</w:t>
      </w:r>
      <w:r w:rsidR="005D538E">
        <w:t xml:space="preserve"> nuances nécessaires</w:t>
      </w:r>
      <w:r w:rsidR="000442C8">
        <w:rPr>
          <w:rStyle w:val="Appelnotedebasdep"/>
        </w:rPr>
        <w:footnoteReference w:id="9"/>
      </w:r>
      <w:r w:rsidR="005D538E">
        <w:t xml:space="preserve">. </w:t>
      </w:r>
    </w:p>
    <w:p w:rsidR="0069486A" w:rsidRPr="0069486A" w:rsidRDefault="0069486A" w:rsidP="00D113B7">
      <w:pPr>
        <w:jc w:val="both"/>
        <w:rPr>
          <w:i/>
        </w:rPr>
      </w:pPr>
      <w:r w:rsidRPr="0069486A">
        <w:rPr>
          <w:i/>
        </w:rPr>
        <w:t>Les quatre laïcités de 1905</w:t>
      </w:r>
    </w:p>
    <w:p w:rsidR="00591509" w:rsidRDefault="00591509" w:rsidP="00D113B7">
      <w:pPr>
        <w:jc w:val="both"/>
      </w:pPr>
      <w:r>
        <w:t>Pour construire l’</w:t>
      </w:r>
      <w:r w:rsidR="00C37D38">
        <w:t>idéaltype</w:t>
      </w:r>
      <w:r>
        <w:t xml:space="preserve"> de </w:t>
      </w:r>
      <w:r w:rsidR="00546047">
        <w:t>« </w:t>
      </w:r>
      <w:r>
        <w:t>l’esprit du capitalisme</w:t>
      </w:r>
      <w:r w:rsidR="00546047">
        <w:t> »</w:t>
      </w:r>
      <w:r w:rsidR="007D532F">
        <w:t>, Weber analyse un discours de B</w:t>
      </w:r>
      <w:r>
        <w:t>enjamin Franklin qui lui semble illustrer cet esprit avec une « pureté presque classique »</w:t>
      </w:r>
      <w:r w:rsidR="00546047">
        <w:rPr>
          <w:rStyle w:val="Appelnotedebasdep"/>
        </w:rPr>
        <w:footnoteReference w:id="10"/>
      </w:r>
      <w:r w:rsidR="007D532F">
        <w:t xml:space="preserve">. De même, lors des débats sur la loi de séparation de 1905, toujours au cœur de la jurisprudence laïque française, des représentations </w:t>
      </w:r>
      <w:r w:rsidR="000544EE">
        <w:t xml:space="preserve">déjà </w:t>
      </w:r>
      <w:r w:rsidR="000C0C79">
        <w:t>présentes de façon diffuse</w:t>
      </w:r>
      <w:r w:rsidR="007D532F">
        <w:t xml:space="preserve"> ont été clarifiées et se sont affrontées. </w:t>
      </w:r>
      <w:r w:rsidR="00506249">
        <w:t xml:space="preserve">Chacune était porteuse d’une </w:t>
      </w:r>
      <w:r w:rsidR="006A2EAA">
        <w:t>conception spécifique</w:t>
      </w:r>
      <w:r w:rsidR="004D32EE">
        <w:t xml:space="preserve"> de la liberté de conscience, de la citoyenneté, de la séparation elle-même</w:t>
      </w:r>
      <w:r w:rsidR="0069486A">
        <w:t>,</w:t>
      </w:r>
      <w:r w:rsidR="004D32EE">
        <w:t xml:space="preserve"> et de la neutralité. A</w:t>
      </w:r>
      <w:r w:rsidR="006A2EAA">
        <w:t xml:space="preserve"> partir de ces </w:t>
      </w:r>
      <w:r w:rsidR="0076482C">
        <w:t xml:space="preserve">différents </w:t>
      </w:r>
      <w:r w:rsidR="006A2EAA">
        <w:t>critères,</w:t>
      </w:r>
      <w:r w:rsidR="00657A4D">
        <w:t xml:space="preserve"> et des affrontements qui ont eu lieu</w:t>
      </w:r>
      <w:r w:rsidR="006A2EAA">
        <w:t>,</w:t>
      </w:r>
      <w:r w:rsidR="004D32EE">
        <w:t xml:space="preserve"> q</w:t>
      </w:r>
      <w:r w:rsidR="007D532F">
        <w:t>uatre représentations types sont repérables.</w:t>
      </w:r>
      <w:r w:rsidR="00A421E6">
        <w:t xml:space="preserve"> Je retiendrai ici </w:t>
      </w:r>
      <w:r w:rsidR="00560106">
        <w:t>un de ces</w:t>
      </w:r>
      <w:r w:rsidR="00657A4D">
        <w:t xml:space="preserve"> critère</w:t>
      </w:r>
      <w:r w:rsidR="00560106">
        <w:t>s</w:t>
      </w:r>
      <w:r w:rsidR="004D32EE">
        <w:t>,</w:t>
      </w:r>
      <w:r w:rsidR="00A421E6">
        <w:t xml:space="preserve"> celui de</w:t>
      </w:r>
      <w:r w:rsidR="004D32EE">
        <w:t xml:space="preserve"> la liberté de conscience.</w:t>
      </w:r>
    </w:p>
    <w:p w:rsidR="0069486A" w:rsidRDefault="007D532F" w:rsidP="00D113B7">
      <w:pPr>
        <w:jc w:val="both"/>
      </w:pPr>
      <w:r>
        <w:t>La loi votée est issue</w:t>
      </w:r>
      <w:r w:rsidR="000544EE">
        <w:t xml:space="preserve"> d’un texte</w:t>
      </w:r>
      <w:r>
        <w:t xml:space="preserve"> de la Commission parlementaire</w:t>
      </w:r>
      <w:r w:rsidR="00560106">
        <w:t>,</w:t>
      </w:r>
      <w:r>
        <w:t xml:space="preserve"> dont Buisson était le président et Briand le rapport</w:t>
      </w:r>
      <w:r w:rsidR="00506249">
        <w:t>eur. Selon un de</w:t>
      </w:r>
      <w:r w:rsidR="005D538E">
        <w:t xml:space="preserve"> ses</w:t>
      </w:r>
      <w:r w:rsidR="004D32EE">
        <w:t xml:space="preserve"> membres, un</w:t>
      </w:r>
      <w:r>
        <w:t xml:space="preserve"> choix fut fixé dès le départ</w:t>
      </w:r>
      <w:r w:rsidR="004D32EE">
        <w:t xml:space="preserve"> : </w:t>
      </w:r>
      <w:r>
        <w:t>« organiser la liberté » et non</w:t>
      </w:r>
      <w:r w:rsidR="004D32EE">
        <w:t xml:space="preserve"> </w:t>
      </w:r>
      <w:r>
        <w:t xml:space="preserve"> « écraser l’infâme »</w:t>
      </w:r>
      <w:r w:rsidR="00657A4D">
        <w:t>. Ce choix</w:t>
      </w:r>
      <w:r w:rsidR="004D32EE">
        <w:t xml:space="preserve"> était commun aux deux hommes qui ont</w:t>
      </w:r>
      <w:r w:rsidR="00657A4D">
        <w:t xml:space="preserve"> privilégié l’option</w:t>
      </w:r>
      <w:r w:rsidR="00560106">
        <w:t xml:space="preserve"> d’une séparation libérale</w:t>
      </w:r>
      <w:r w:rsidR="004D32EE">
        <w:t xml:space="preserve">. </w:t>
      </w:r>
      <w:r w:rsidR="006A2EAA">
        <w:t xml:space="preserve">On leur doit </w:t>
      </w:r>
      <w:r w:rsidR="00506249">
        <w:t xml:space="preserve"> </w:t>
      </w:r>
      <w:r w:rsidR="000C0C79">
        <w:t>l’architecture de la loi. Pourt</w:t>
      </w:r>
      <w:r w:rsidR="006A2EAA">
        <w:t>ant, à un moment décisif du débat parlementaire, ils se sont opposés.</w:t>
      </w:r>
      <w:r w:rsidR="00657A4D">
        <w:t xml:space="preserve"> Un problème</w:t>
      </w:r>
      <w:r w:rsidR="00506249">
        <w:t xml:space="preserve"> technique a révélé une divergence d</w:t>
      </w:r>
      <w:r w:rsidR="00657A4D">
        <w:t>e fond.</w:t>
      </w:r>
      <w:r w:rsidR="00506249">
        <w:t xml:space="preserve"> </w:t>
      </w:r>
      <w:r w:rsidR="006A2EAA">
        <w:t xml:space="preserve"> </w:t>
      </w:r>
      <w:r w:rsidR="006A2EAA">
        <w:lastRenderedPageBreak/>
        <w:t>Originellement, la jouissance des églises, qui restaient propriété publique, étai</w:t>
      </w:r>
      <w:r w:rsidR="00560106">
        <w:t>t dévolue aux associations</w:t>
      </w:r>
      <w:r w:rsidR="00506249">
        <w:t xml:space="preserve"> qui se formeraient pour l</w:t>
      </w:r>
      <w:r w:rsidR="006A2EAA">
        <w:t>’exercice d</w:t>
      </w:r>
      <w:r w:rsidR="00506249">
        <w:t>u</w:t>
      </w:r>
      <w:r w:rsidR="006A2EAA">
        <w:t xml:space="preserve"> culte</w:t>
      </w:r>
      <w:r w:rsidR="00753AFF">
        <w:t>, selon la logique de la loi de 1901 sur les associations.</w:t>
      </w:r>
      <w:r w:rsidR="006A2EAA">
        <w:t xml:space="preserve"> </w:t>
      </w:r>
      <w:r w:rsidR="00506249">
        <w:t xml:space="preserve">Cependant, </w:t>
      </w:r>
      <w:r w:rsidR="006A2EAA">
        <w:t>Briand, appuyé par Jaurès, a modifié les conditions de dévolution :</w:t>
      </w:r>
      <w:r w:rsidR="00506249">
        <w:t xml:space="preserve"> avec l’article 4 de la loi,</w:t>
      </w:r>
      <w:r w:rsidR="006A2EAA">
        <w:t xml:space="preserve"> les associations cultuelles</w:t>
      </w:r>
      <w:r w:rsidR="00753AFF">
        <w:t xml:space="preserve"> qui auront la jouissance des églises</w:t>
      </w:r>
      <w:r w:rsidR="006A2EAA">
        <w:t xml:space="preserve"> devront se conformer « aux règles générales du culte dont elles se proposent d’assurer l’exercice »</w:t>
      </w:r>
      <w:r w:rsidR="00506249">
        <w:t xml:space="preserve">. </w:t>
      </w:r>
    </w:p>
    <w:p w:rsidR="007D532F" w:rsidRDefault="002324D5" w:rsidP="00D113B7">
      <w:pPr>
        <w:jc w:val="both"/>
      </w:pPr>
      <w:r>
        <w:t>Dans le premier cas de figure, celui de Buisson,</w:t>
      </w:r>
      <w:r w:rsidR="00753AFF">
        <w:t xml:space="preserve"> la R</w:t>
      </w:r>
      <w:r>
        <w:t>épublique assure la liberté de conscience des individus. Ensuite, ceux-ci peuvent librement s’associer sans que cela concerne directement l’Etat. Briand et Jaurès intègrent</w:t>
      </w:r>
      <w:r w:rsidR="00753AFF">
        <w:t>, eux,</w:t>
      </w:r>
      <w:r>
        <w:t xml:space="preserve"> une dimension collective à la liberté de conscience. Certes, avec la séparation, il n’</w:t>
      </w:r>
      <w:r w:rsidR="00753AFF">
        <w:t>existe</w:t>
      </w:r>
      <w:r>
        <w:t xml:space="preserve"> plus de « cultes reconnus », semi-officiels. Mais la République « </w:t>
      </w:r>
      <w:r w:rsidR="00657A4D">
        <w:t>respecte », le terme est employé</w:t>
      </w:r>
      <w:r>
        <w:t xml:space="preserve"> dans les débats, les groupements religieux comme entité</w:t>
      </w:r>
      <w:r w:rsidR="00830BB6">
        <w:t>s</w:t>
      </w:r>
      <w:r>
        <w:t xml:space="preserve"> collective</w:t>
      </w:r>
      <w:r w:rsidR="00830BB6">
        <w:t>s</w:t>
      </w:r>
      <w:r>
        <w:t xml:space="preserve"> et</w:t>
      </w:r>
      <w:r w:rsidR="00753AFF">
        <w:t xml:space="preserve"> elle</w:t>
      </w:r>
      <w:r>
        <w:t xml:space="preserve"> tient compte de leur organisation propre. Voilà donc deux laïcité</w:t>
      </w:r>
      <w:r w:rsidR="0069486A">
        <w:t>s</w:t>
      </w:r>
      <w:r>
        <w:t xml:space="preserve"> séparatistes différente</w:t>
      </w:r>
      <w:r w:rsidR="00753AFF">
        <w:t>s</w:t>
      </w:r>
      <w:r>
        <w:t>. L’une est individualiste et assez stricte ; l’autre intègre une dimension collective et se montre plus inclusive.</w:t>
      </w:r>
      <w:r w:rsidR="000C0C79">
        <w:t xml:space="preserve"> Dans les deux cas,</w:t>
      </w:r>
      <w:r w:rsidR="00F3537E">
        <w:t xml:space="preserve"> le droit commun s’applique</w:t>
      </w:r>
      <w:r w:rsidR="000C0C79">
        <w:t xml:space="preserve"> globalement</w:t>
      </w:r>
      <w:r w:rsidR="00F3537E">
        <w:t xml:space="preserve"> au</w:t>
      </w:r>
      <w:r w:rsidR="00830BB6">
        <w:t>x religions qui, désormais, font partie</w:t>
      </w:r>
      <w:r w:rsidR="00F3537E">
        <w:t xml:space="preserve"> des organismes de la société civile.</w:t>
      </w:r>
    </w:p>
    <w:p w:rsidR="00605F04" w:rsidRDefault="002324D5" w:rsidP="00D113B7">
      <w:pPr>
        <w:jc w:val="both"/>
      </w:pPr>
      <w:r>
        <w:t xml:space="preserve">Mais, comme le constaterait Monsieur de La Palice, si la loi de séparation est issue du travail de la Commission parlementaire, </w:t>
      </w:r>
      <w:r w:rsidR="0076482C">
        <w:t>c’est qu’</w:t>
      </w:r>
      <w:r>
        <w:t>elle ne provient pas d’un projet de loi du gouvernement. Pourtant, début novembre 1904, le président du Conseil d’alors,</w:t>
      </w:r>
      <w:r w:rsidR="00F3537E">
        <w:t xml:space="preserve"> Emile Combes</w:t>
      </w:r>
      <w:r w:rsidR="00830BB6">
        <w:t>,</w:t>
      </w:r>
      <w:r w:rsidR="00F3537E">
        <w:t xml:space="preserve"> avait déposé son propre texte</w:t>
      </w:r>
      <w:r>
        <w:t>. Buisson n’hésite pas à écrire</w:t>
      </w:r>
      <w:r w:rsidR="00605F04">
        <w:t>,</w:t>
      </w:r>
      <w:r w:rsidR="00753AFF">
        <w:t xml:space="preserve"> à ce moment</w:t>
      </w:r>
      <w:r w:rsidR="00830BB6">
        <w:t>-là</w:t>
      </w:r>
      <w:r w:rsidR="00605F04">
        <w:t>,</w:t>
      </w:r>
      <w:r w:rsidR="00F3537E">
        <w:t xml:space="preserve"> que ce projet de loi</w:t>
      </w:r>
      <w:r>
        <w:t xml:space="preserve"> « ne peut s’appe</w:t>
      </w:r>
      <w:r w:rsidR="00657A4D">
        <w:t>ler séparation des Eglises et de</w:t>
      </w:r>
      <w:r>
        <w:t xml:space="preserve"> l’Etat, puisque c’en est juste l’opposé ». </w:t>
      </w:r>
      <w:r w:rsidR="00753AFF">
        <w:t xml:space="preserve">De fait, Combes se situait </w:t>
      </w:r>
      <w:r w:rsidR="00F3537E">
        <w:t xml:space="preserve">bien </w:t>
      </w:r>
      <w:r w:rsidR="00753AFF">
        <w:t>davantage dans la traditio</w:t>
      </w:r>
      <w:r w:rsidR="0076482C">
        <w:t>n gallicane que dans l’optique de</w:t>
      </w:r>
      <w:r w:rsidR="00830BB6">
        <w:t xml:space="preserve"> la sépar</w:t>
      </w:r>
      <w:r w:rsidR="00560106">
        <w:t>ation. Ce gallican</w:t>
      </w:r>
      <w:r w:rsidR="00830BB6">
        <w:t xml:space="preserve"> républicain </w:t>
      </w:r>
      <w:r w:rsidR="00657A4D">
        <w:t xml:space="preserve"> maintenait une dépendance des Eglises envers</w:t>
      </w:r>
      <w:r w:rsidR="00753AFF">
        <w:t xml:space="preserve"> l’Etat</w:t>
      </w:r>
      <w:r w:rsidR="00830BB6">
        <w:t>,</w:t>
      </w:r>
      <w:r w:rsidR="00657A4D">
        <w:t xml:space="preserve"> et instituait</w:t>
      </w:r>
      <w:r w:rsidR="0076482C">
        <w:t>, en revanche,</w:t>
      </w:r>
      <w:r w:rsidR="00753AFF">
        <w:t xml:space="preserve"> </w:t>
      </w:r>
      <w:proofErr w:type="gramStart"/>
      <w:r w:rsidR="00753AFF">
        <w:t>une</w:t>
      </w:r>
      <w:proofErr w:type="gramEnd"/>
      <w:r w:rsidR="00753AFF">
        <w:t xml:space="preserve"> quasi séparation entre l’Eglise catholique</w:t>
      </w:r>
      <w:r w:rsidR="00C37D38">
        <w:t xml:space="preserve"> en France</w:t>
      </w:r>
      <w:r w:rsidR="00753AFF">
        <w:t xml:space="preserve"> </w:t>
      </w:r>
      <w:r w:rsidR="00657A4D">
        <w:t>et le pape. Il s’agissait</w:t>
      </w:r>
      <w:r w:rsidR="00C37D38">
        <w:t xml:space="preserve"> de favoriser un catholicisme républicain, contre ce qu</w:t>
      </w:r>
      <w:r w:rsidR="00E6030E">
        <w:t>e les historiens</w:t>
      </w:r>
      <w:r w:rsidR="00C37D38">
        <w:t xml:space="preserve"> </w:t>
      </w:r>
      <w:r w:rsidR="00E6030E">
        <w:t>appellent</w:t>
      </w:r>
      <w:r w:rsidR="00C37D38">
        <w:t xml:space="preserve"> le « catholicisme intransigeant » ; on parlait à l’époque d’ultr</w:t>
      </w:r>
      <w:r w:rsidR="000C0C79">
        <w:t>amontanisme, considéré, surtou</w:t>
      </w:r>
      <w:r w:rsidR="00C37D38">
        <w:t xml:space="preserve">t après l’affaire Dreyfus, comme une </w:t>
      </w:r>
      <w:r w:rsidR="0076482C">
        <w:t>« </w:t>
      </w:r>
      <w:r w:rsidR="00C37D38">
        <w:t>menace</w:t>
      </w:r>
      <w:r w:rsidR="0076482C">
        <w:t> »</w:t>
      </w:r>
      <w:r w:rsidR="00C37D38">
        <w:t xml:space="preserve"> </w:t>
      </w:r>
      <w:r w:rsidR="00657A4D">
        <w:t xml:space="preserve">pour la République.  </w:t>
      </w:r>
    </w:p>
    <w:p w:rsidR="002324D5" w:rsidRDefault="00657A4D" w:rsidP="00D113B7">
      <w:pPr>
        <w:jc w:val="both"/>
      </w:pPr>
      <w:r>
        <w:t>Dans l’</w:t>
      </w:r>
      <w:r w:rsidR="00C37D38">
        <w:t>optique</w:t>
      </w:r>
      <w:r w:rsidR="00830BB6">
        <w:t xml:space="preserve"> de</w:t>
      </w:r>
      <w:r>
        <w:t xml:space="preserve"> la</w:t>
      </w:r>
      <w:r w:rsidR="00830BB6">
        <w:t xml:space="preserve"> laïcité gallicane</w:t>
      </w:r>
      <w:r w:rsidR="00C37D38">
        <w:t>, la conception de la</w:t>
      </w:r>
      <w:r w:rsidR="00F3537E">
        <w:t xml:space="preserve"> l</w:t>
      </w:r>
      <w:r w:rsidR="00560106">
        <w:t>iberté de conscience suppose une acculturation de la religion</w:t>
      </w:r>
      <w:r w:rsidR="00F3537E">
        <w:t xml:space="preserve"> et le pouvoir politique peut discriminer entre une bonne et une mauvaise religion</w:t>
      </w:r>
      <w:r w:rsidR="00560106">
        <w:t>.</w:t>
      </w:r>
      <w:r w:rsidR="00C37D38">
        <w:t xml:space="preserve"> Lors des débats parlementaires, des députés </w:t>
      </w:r>
      <w:r>
        <w:t>combistes déposèrent</w:t>
      </w:r>
      <w:r w:rsidR="00C37D38">
        <w:t xml:space="preserve"> des amendements pour limiter la liberté des Eglises face à l’</w:t>
      </w:r>
      <w:r w:rsidR="00F3537E">
        <w:t>Etat</w:t>
      </w:r>
      <w:r w:rsidR="00560106">
        <w:t>,</w:t>
      </w:r>
      <w:r w:rsidR="00F3537E">
        <w:t xml:space="preserve"> ou</w:t>
      </w:r>
      <w:r w:rsidR="00C37D38">
        <w:t xml:space="preserve"> interdire le port de la soutane dans l’</w:t>
      </w:r>
      <w:r w:rsidR="00830BB6">
        <w:t>espace public. Ces amendements</w:t>
      </w:r>
      <w:r>
        <w:t xml:space="preserve"> furen</w:t>
      </w:r>
      <w:r w:rsidR="00C37D38">
        <w:t>t tous rejeté</w:t>
      </w:r>
      <w:r w:rsidR="00F3537E">
        <w:t>s</w:t>
      </w:r>
      <w:r>
        <w:t xml:space="preserve"> et Briand insista</w:t>
      </w:r>
      <w:r w:rsidR="00C37D38">
        <w:t> : la loi de séparation sera une « loi de liberté ».</w:t>
      </w:r>
    </w:p>
    <w:p w:rsidR="0069486A" w:rsidRDefault="00657A4D" w:rsidP="00D113B7">
      <w:pPr>
        <w:jc w:val="both"/>
      </w:pPr>
      <w:r>
        <w:t>Le rapporteur l’affirma</w:t>
      </w:r>
      <w:r w:rsidR="00C37D38">
        <w:t xml:space="preserve"> ég</w:t>
      </w:r>
      <w:r w:rsidR="00830BB6">
        <w:t>alement face au contre-projet déposé par le</w:t>
      </w:r>
      <w:r w:rsidR="00C37D38">
        <w:t xml:space="preserve"> député Maurice Allard</w:t>
      </w:r>
      <w:r w:rsidR="00F3537E">
        <w:t>. Celui-ci défend</w:t>
      </w:r>
      <w:r>
        <w:t>ait</w:t>
      </w:r>
      <w:r w:rsidR="00F3537E">
        <w:t xml:space="preserve"> une concepti</w:t>
      </w:r>
      <w:r>
        <w:t>on de la séparation qui, déclara</w:t>
      </w:r>
      <w:r w:rsidR="00F3537E">
        <w:t>-t-il</w:t>
      </w:r>
      <w:r w:rsidR="0076482C">
        <w:t>,</w:t>
      </w:r>
      <w:r w:rsidR="00F3537E">
        <w:t xml:space="preserve"> doit permettre de diminuer « la malfaisance de l’Eglise et des religions</w:t>
      </w:r>
      <w:r w:rsidR="00677932">
        <w:t> (…) obstacle permanent au progrès et à la civilisation ». Selon Allard, la liberté de conscience n’inclut pas la liberté de religion car la religion est, par essence, « l’oppression des consciences », un principe d’autorité contraire au libre-examen. Son cont</w:t>
      </w:r>
      <w:r>
        <w:t>re-projet</w:t>
      </w:r>
      <w:r w:rsidR="007643B3">
        <w:t>, typique d’une laïcité antireligieuse,</w:t>
      </w:r>
      <w:r>
        <w:t xml:space="preserve"> obti</w:t>
      </w:r>
      <w:r w:rsidR="00605F04">
        <w:t>nt environ 12% de votes.</w:t>
      </w:r>
    </w:p>
    <w:p w:rsidR="00605F04" w:rsidRPr="00605F04" w:rsidRDefault="00605F04" w:rsidP="00D113B7">
      <w:pPr>
        <w:jc w:val="both"/>
        <w:rPr>
          <w:i/>
        </w:rPr>
      </w:pPr>
      <w:r w:rsidRPr="00605F04">
        <w:rPr>
          <w:i/>
        </w:rPr>
        <w:t>Quatre laïcités dans la filiation des conflits de 1905</w:t>
      </w:r>
    </w:p>
    <w:p w:rsidR="008F1E90" w:rsidRDefault="00830BB6" w:rsidP="00D113B7">
      <w:pPr>
        <w:jc w:val="both"/>
      </w:pPr>
      <w:r>
        <w:t xml:space="preserve">Quatre représentations de la laïcité, donc. </w:t>
      </w:r>
      <w:r>
        <w:rPr>
          <w:i/>
        </w:rPr>
        <w:t>M</w:t>
      </w:r>
      <w:r w:rsidR="00EC7F23" w:rsidRPr="00EC7F23">
        <w:rPr>
          <w:i/>
        </w:rPr>
        <w:t>utatis mutandis</w:t>
      </w:r>
      <w:r w:rsidR="00EC7F23">
        <w:t>,</w:t>
      </w:r>
      <w:r w:rsidR="008F1E90">
        <w:t xml:space="preserve"> ces concep</w:t>
      </w:r>
      <w:r w:rsidR="00EC7F23">
        <w:t>tions</w:t>
      </w:r>
      <w:r w:rsidR="00F818B4">
        <w:t xml:space="preserve"> concurrentes ont persisté, en</w:t>
      </w:r>
      <w:r w:rsidR="00EC7F23">
        <w:t xml:space="preserve"> évoluant face au changement de</w:t>
      </w:r>
      <w:r w:rsidR="00F818B4">
        <w:t xml:space="preserve"> contexte</w:t>
      </w:r>
      <w:r w:rsidR="00EC7F23">
        <w:t xml:space="preserve">. </w:t>
      </w:r>
      <w:r w:rsidR="008F1E90">
        <w:t>Trois autres perce</w:t>
      </w:r>
      <w:r w:rsidR="00EC7F23">
        <w:t>ptions se sont</w:t>
      </w:r>
      <w:r w:rsidR="008F1E90">
        <w:t xml:space="preserve"> ajoutées, identifiables grâce aux</w:t>
      </w:r>
      <w:r w:rsidR="00EC7F23">
        <w:t xml:space="preserve"> débats</w:t>
      </w:r>
      <w:r w:rsidR="008F1E90">
        <w:t xml:space="preserve"> et aux conflits</w:t>
      </w:r>
      <w:r w:rsidR="00EC7F23">
        <w:t xml:space="preserve"> de ces dernières décennies.</w:t>
      </w:r>
    </w:p>
    <w:p w:rsidR="00EC7F23" w:rsidRDefault="00830BB6" w:rsidP="00D113B7">
      <w:pPr>
        <w:jc w:val="both"/>
      </w:pPr>
      <w:r>
        <w:t>On le sait,</w:t>
      </w:r>
      <w:r w:rsidR="0069486A">
        <w:t xml:space="preserve"> en rupture avec toute démarche essentialiste,</w:t>
      </w:r>
      <w:r>
        <w:t xml:space="preserve"> l’id</w:t>
      </w:r>
      <w:r w:rsidR="0069486A">
        <w:t>éaltype constitue</w:t>
      </w:r>
      <w:r w:rsidR="001803D2">
        <w:t xml:space="preserve"> une sorte</w:t>
      </w:r>
      <w:r w:rsidR="00AF21FB">
        <w:t xml:space="preserve"> de portrait-robot pour pouvoir évaluer, comparer,</w:t>
      </w:r>
      <w:r w:rsidR="001803D2">
        <w:t xml:space="preserve"> mesurer des éléments de la réalité historiq</w:t>
      </w:r>
      <w:r w:rsidR="008F1E90">
        <w:t>ue et sociale, en soulignant leurs</w:t>
      </w:r>
      <w:r w:rsidR="001803D2">
        <w:t xml:space="preserve"> traits distinctifs. Il ne prétend donc pas coï</w:t>
      </w:r>
      <w:r w:rsidR="008F1E90">
        <w:t>ncider</w:t>
      </w:r>
      <w:r w:rsidR="001803D2">
        <w:t xml:space="preserve"> avec la réalité empirique : in</w:t>
      </w:r>
      <w:r w:rsidR="008F1E90">
        <w:t>dividus et groupes peuvent présenter</w:t>
      </w:r>
      <w:r w:rsidR="001803D2">
        <w:t xml:space="preserve"> des traits de différents idéaux-types</w:t>
      </w:r>
      <w:r w:rsidR="0069486A">
        <w:t>.</w:t>
      </w:r>
      <w:r w:rsidR="001803D2">
        <w:t xml:space="preserve"> Cette méthode présente</w:t>
      </w:r>
      <w:r w:rsidR="008F1E90">
        <w:t xml:space="preserve"> néanmoins</w:t>
      </w:r>
      <w:r w:rsidR="0069486A">
        <w:t xml:space="preserve"> certains avantages ;</w:t>
      </w:r>
      <w:r w:rsidR="001803D2">
        <w:t xml:space="preserve"> ainsi d</w:t>
      </w:r>
      <w:r w:rsidR="00685163">
        <w:t>istinguer</w:t>
      </w:r>
      <w:r>
        <w:t xml:space="preserve"> </w:t>
      </w:r>
      <w:r w:rsidR="00685163">
        <w:t xml:space="preserve">sept laïcités permet de s’affranchir de stéréotypes </w:t>
      </w:r>
      <w:r w:rsidR="00685163">
        <w:lastRenderedPageBreak/>
        <w:t>médiatiques</w:t>
      </w:r>
      <w:r w:rsidR="00DD286C">
        <w:t xml:space="preserve"> dualistes,</w:t>
      </w:r>
      <w:r w:rsidR="00685163">
        <w:t xml:space="preserve"> opposant des « </w:t>
      </w:r>
      <w:proofErr w:type="spellStart"/>
      <w:r w:rsidR="00685163">
        <w:t>laïcards</w:t>
      </w:r>
      <w:proofErr w:type="spellEnd"/>
      <w:r w:rsidR="00685163">
        <w:t xml:space="preserve"> » à des partisans d’une « laïcité molle ». </w:t>
      </w:r>
      <w:r w:rsidR="00DD286C">
        <w:t>Sur des questions comme l’interdiction, ou non, de signes religieux à l’université, on met en avant u</w:t>
      </w:r>
      <w:r w:rsidR="00685163">
        <w:t>ne telle opposition</w:t>
      </w:r>
      <w:r w:rsidR="00DD286C">
        <w:t>. Or elle n’est pas pertinente</w:t>
      </w:r>
      <w:r>
        <w:t xml:space="preserve">, ne serait-ce que parce que la Fédération nationale </w:t>
      </w:r>
      <w:r w:rsidR="008F1E90">
        <w:t>de la libre pensée a pris position contre</w:t>
      </w:r>
      <w:r w:rsidR="00DD286C">
        <w:t xml:space="preserve"> cette</w:t>
      </w:r>
      <w:r>
        <w:t xml:space="preserve"> interdiction</w:t>
      </w:r>
      <w:r w:rsidR="003E7C1D">
        <w:t>, l’estimant</w:t>
      </w:r>
      <w:r w:rsidR="008F1E90">
        <w:t xml:space="preserve"> attentatoire aux « franchises universitaires »</w:t>
      </w:r>
      <w:r>
        <w:t>. On ne saurait pourtant qualifier de « molle »</w:t>
      </w:r>
      <w:r w:rsidR="008F1E90">
        <w:t xml:space="preserve"> l</w:t>
      </w:r>
      <w:r>
        <w:t>a vision de la laïcité</w:t>
      </w:r>
      <w:r w:rsidR="008F1E90">
        <w:t xml:space="preserve"> des libres-penseurs</w:t>
      </w:r>
      <w:r>
        <w:t>.</w:t>
      </w:r>
    </w:p>
    <w:p w:rsidR="001803D2" w:rsidRDefault="00F818B4" w:rsidP="00D113B7">
      <w:pPr>
        <w:jc w:val="both"/>
      </w:pPr>
      <w:r>
        <w:t>Celle-ci s’apparente</w:t>
      </w:r>
      <w:r w:rsidR="001803D2">
        <w:t xml:space="preserve"> à la laïcité séparatiste indivi</w:t>
      </w:r>
      <w:r w:rsidR="008F1E90">
        <w:t xml:space="preserve">dualiste </w:t>
      </w:r>
      <w:r w:rsidR="00AF21FB">
        <w:t>stricte. L</w:t>
      </w:r>
      <w:r w:rsidR="001803D2">
        <w:t>a libre-pensée associe les héritages de Buisson et Briand et</w:t>
      </w:r>
      <w:r w:rsidR="00AF21FB">
        <w:t>, certes,</w:t>
      </w:r>
      <w:r w:rsidR="001803D2">
        <w:t xml:space="preserve"> accepte l’article 4 de la loi de 1905. Cependant, s</w:t>
      </w:r>
      <w:r w:rsidR="00DD286C">
        <w:t>i elle défend</w:t>
      </w:r>
      <w:r w:rsidR="001803D2">
        <w:t xml:space="preserve"> « la liberté de conscience absolue »</w:t>
      </w:r>
      <w:r w:rsidR="008F1E90">
        <w:t xml:space="preserve"> des individus, elle se montre</w:t>
      </w:r>
      <w:r w:rsidR="00605F04">
        <w:t xml:space="preserve"> réservée</w:t>
      </w:r>
      <w:r w:rsidR="008F1E90">
        <w:t xml:space="preserve"> devant </w:t>
      </w:r>
      <w:r w:rsidR="001803D2">
        <w:t xml:space="preserve">une disposition de la loi de 1905, </w:t>
      </w:r>
      <w:r w:rsidR="008F1E90">
        <w:t xml:space="preserve">qui provient </w:t>
      </w:r>
      <w:r w:rsidR="00700838">
        <w:t xml:space="preserve">du vote </w:t>
      </w:r>
      <w:r w:rsidR="008F1E90">
        <w:t>d’un amendement : le fait de pouvoir rétribuer sur fonds publics des aumônier</w:t>
      </w:r>
      <w:r w:rsidR="00700838">
        <w:t>s</w:t>
      </w:r>
      <w:r w:rsidR="00DD286C">
        <w:t xml:space="preserve"> dans des lieux fermés</w:t>
      </w:r>
      <w:r>
        <w:t xml:space="preserve"> (</w:t>
      </w:r>
      <w:r w:rsidR="00700838">
        <w:t>article 2)</w:t>
      </w:r>
      <w:r w:rsidR="008F1E90">
        <w:t xml:space="preserve">. </w:t>
      </w:r>
      <w:r w:rsidR="00700838">
        <w:t>Néanmoins, elle signe souvent des communiqués communs avec deux autres associations laïques historiques, la Ligue des droits de l’homme</w:t>
      </w:r>
      <w:r w:rsidR="00E6030E">
        <w:t xml:space="preserve"> et la Ligue de l’enseignement</w:t>
      </w:r>
      <w:r w:rsidR="00700838">
        <w:t>. Ces dernières se sont spécialisées dans l’étude précise de la loi de 1905 et du dispositif juridique laïque en France.</w:t>
      </w:r>
      <w:r w:rsidR="00E6030E">
        <w:t xml:space="preserve"> Elles ne veulent ni être « laxiste</w:t>
      </w:r>
      <w:r w:rsidR="00AF21FB">
        <w:t>s</w:t>
      </w:r>
      <w:r w:rsidR="00E6030E">
        <w:t> »</w:t>
      </w:r>
      <w:r w:rsidR="00AF21FB">
        <w:t xml:space="preserve"> envers des « atteintes contre la laïcité »</w:t>
      </w:r>
      <w:r w:rsidR="00D75616">
        <w:rPr>
          <w:rStyle w:val="Appelnotedebasdep"/>
        </w:rPr>
        <w:footnoteReference w:id="11"/>
      </w:r>
      <w:r w:rsidR="00AF21FB">
        <w:t>,</w:t>
      </w:r>
      <w:r w:rsidR="00E6030E">
        <w:t xml:space="preserve"> ni « brider l’expression publique des relig</w:t>
      </w:r>
      <w:r>
        <w:t>ions ». Leur conception est</w:t>
      </w:r>
      <w:r w:rsidR="00E6030E">
        <w:t xml:space="preserve"> plutôt inclusive.</w:t>
      </w:r>
      <w:r w:rsidR="00DD286C">
        <w:t xml:space="preserve"> Voilà donc des exemples des deux laïcités séparatistes </w:t>
      </w:r>
      <w:r w:rsidR="00605F04">
        <w:t>d’</w:t>
      </w:r>
      <w:r w:rsidR="00DD286C">
        <w:t>aujourd’hui.</w:t>
      </w:r>
    </w:p>
    <w:p w:rsidR="00E6030E" w:rsidRDefault="00E6030E" w:rsidP="00D113B7">
      <w:pPr>
        <w:jc w:val="both"/>
      </w:pPr>
      <w:r>
        <w:t>Si pour l’historien-sociologue Emile Poulat</w:t>
      </w:r>
      <w:r w:rsidR="0069486A">
        <w:rPr>
          <w:rStyle w:val="Appelnotedebasdep"/>
        </w:rPr>
        <w:footnoteReference w:id="12"/>
      </w:r>
      <w:r>
        <w:t xml:space="preserve">, les dispositions de la loi de 1905 manifestent </w:t>
      </w:r>
      <w:r w:rsidR="00605F04">
        <w:t>« </w:t>
      </w:r>
      <w:r>
        <w:t>la sortie du gallicanisme</w:t>
      </w:r>
      <w:r w:rsidR="00605F04">
        <w:t> »</w:t>
      </w:r>
      <w:r>
        <w:t xml:space="preserve">, le courant gallican républicain n’a pas disparu. </w:t>
      </w:r>
      <w:r w:rsidR="00DD286C">
        <w:t>Parfois il se trouve</w:t>
      </w:r>
      <w:r w:rsidR="00707166">
        <w:t xml:space="preserve"> explicitement assumé ; ainsi  feu le Haut Conseil à l’Intégration</w:t>
      </w:r>
      <w:r w:rsidR="00AF21FB">
        <w:t xml:space="preserve"> écrivait</w:t>
      </w:r>
      <w:r w:rsidR="00707166">
        <w:t> que la laïcité s’est déjà « fortement affirmée dans la tradition gallicane » de l’Ancien Régime</w:t>
      </w:r>
      <w:r w:rsidR="0069486A">
        <w:rPr>
          <w:rStyle w:val="Appelnotedebasdep"/>
        </w:rPr>
        <w:footnoteReference w:id="13"/>
      </w:r>
      <w:r w:rsidR="00707166">
        <w:t>.</w:t>
      </w:r>
      <w:r w:rsidR="00DD286C">
        <w:t xml:space="preserve"> Cependant, l</w:t>
      </w:r>
      <w:r w:rsidR="00707166">
        <w:t>a plupart du temps, il s’agit d’</w:t>
      </w:r>
      <w:r w:rsidR="00DD286C">
        <w:t>un impensé qui se man</w:t>
      </w:r>
      <w:r w:rsidR="00AF21FB">
        <w:t>ifeste</w:t>
      </w:r>
      <w:r w:rsidR="007643B3">
        <w:t xml:space="preserve"> par différent</w:t>
      </w:r>
      <w:r w:rsidR="00DD286C">
        <w:t>s indices. Ainsi, on attribue</w:t>
      </w:r>
      <w:r w:rsidR="00707166">
        <w:t xml:space="preserve"> à Emile Combes la pa</w:t>
      </w:r>
      <w:r w:rsidR="003E7C1D">
        <w:t>ternité de la loi de 1905 (</w:t>
      </w:r>
      <w:r w:rsidR="00707166">
        <w:t>l’</w:t>
      </w:r>
      <w:r w:rsidR="00B62D21">
        <w:t xml:space="preserve">hebdomadaire </w:t>
      </w:r>
      <w:r w:rsidR="00B62D21" w:rsidRPr="00B62D21">
        <w:rPr>
          <w:i/>
        </w:rPr>
        <w:t>Marianne</w:t>
      </w:r>
      <w:r w:rsidR="003E7C1D">
        <w:t xml:space="preserve"> par exemple</w:t>
      </w:r>
      <w:r w:rsidR="0069486A">
        <w:rPr>
          <w:rStyle w:val="Appelnotedebasdep"/>
        </w:rPr>
        <w:footnoteReference w:id="14"/>
      </w:r>
      <w:r w:rsidR="00AF21FB">
        <w:t>), ou</w:t>
      </w:r>
      <w:r w:rsidR="00DD286C">
        <w:t xml:space="preserve"> </w:t>
      </w:r>
      <w:r w:rsidR="00B62D21">
        <w:t>on propose de cantonner la</w:t>
      </w:r>
      <w:r w:rsidR="00DD286C">
        <w:t xml:space="preserve"> religion dans la « sphère privée », </w:t>
      </w:r>
      <w:r w:rsidR="003E7C1D">
        <w:t>alors que la loi de 1905 élargit</w:t>
      </w:r>
      <w:r w:rsidR="00DD286C">
        <w:t xml:space="preserve"> les possibilités de manifestations publiques de la religion, par rapport à la période antérieure</w:t>
      </w:r>
      <w:r w:rsidR="00D75616">
        <w:rPr>
          <w:rStyle w:val="Appelnotedebasdep"/>
        </w:rPr>
        <w:footnoteReference w:id="15"/>
      </w:r>
      <w:r w:rsidR="00DD286C">
        <w:t>.</w:t>
      </w:r>
      <w:r w:rsidR="007643B3">
        <w:t xml:space="preserve"> </w:t>
      </w:r>
      <w:r w:rsidR="003E7C1D">
        <w:t>L’expression d’«islam républicain » est utilisée. </w:t>
      </w:r>
      <w:r w:rsidR="007643B3">
        <w:t>L’analyse du champ lexical est également significative : le vocabulaire guerrier du gallica</w:t>
      </w:r>
      <w:r w:rsidR="003E7C1D">
        <w:t>nisme républicain s’oppose, à l’époque de Combes</w:t>
      </w:r>
      <w:r w:rsidR="007643B3">
        <w:t xml:space="preserve"> comme aujourd’hui, aux propos d’apaisement et de rassemblement typiques d’Aristide Briand et de ceux qui se situent dans sa fil</w:t>
      </w:r>
      <w:r w:rsidR="003E7C1D">
        <w:t>iation. La laïcité gallicane constitue</w:t>
      </w:r>
      <w:r w:rsidR="007643B3">
        <w:t xml:space="preserve"> la troisième des sept laïcités actuelles.</w:t>
      </w:r>
    </w:p>
    <w:p w:rsidR="007643B3" w:rsidRDefault="007643B3" w:rsidP="00D113B7">
      <w:pPr>
        <w:jc w:val="both"/>
      </w:pPr>
      <w:r>
        <w:t>Si rien dans le dispositif juridique français ne correspond à la vision antireligieuse de la laïcité, po</w:t>
      </w:r>
      <w:r w:rsidR="00AF21FB">
        <w:t>ur autant cette perspective ne s’est pas éteinte</w:t>
      </w:r>
      <w:r w:rsidR="003B41AD">
        <w:t xml:space="preserve">. Ainsi, Michel </w:t>
      </w:r>
      <w:proofErr w:type="spellStart"/>
      <w:r w:rsidR="003B41AD">
        <w:t>Onfray</w:t>
      </w:r>
      <w:proofErr w:type="spellEnd"/>
      <w:r w:rsidR="00D75616">
        <w:rPr>
          <w:rStyle w:val="Appelnotedebasdep"/>
        </w:rPr>
        <w:footnoteReference w:id="16"/>
      </w:r>
      <w:r w:rsidR="003B41AD">
        <w:t xml:space="preserve"> estime impossible</w:t>
      </w:r>
      <w:r w:rsidR="00D10F2A">
        <w:t xml:space="preserve"> de cautionner une laïcité favorable à la liberté de conscience</w:t>
      </w:r>
      <w:r w:rsidR="003B41AD">
        <w:t xml:space="preserve"> car</w:t>
      </w:r>
      <w:r w:rsidR="00AF21FB">
        <w:t>, selon lui,</w:t>
      </w:r>
      <w:r w:rsidR="003B41AD">
        <w:t xml:space="preserve"> la laïcité doit combattre « deux mille ans de formatage du monothéisme biblique »</w:t>
      </w:r>
      <w:r w:rsidR="003E7C1D">
        <w:t xml:space="preserve"> ainsi que l’islam</w:t>
      </w:r>
      <w:r w:rsidR="003B41AD">
        <w:t>.</w:t>
      </w:r>
      <w:r w:rsidR="00B655B8">
        <w:t xml:space="preserve"> De manière plus générale, une dimen</w:t>
      </w:r>
      <w:r w:rsidR="003E7C1D">
        <w:t>sion antireligieuse existe chaque fois que</w:t>
      </w:r>
      <w:r w:rsidR="00B655B8">
        <w:t xml:space="preserve"> </w:t>
      </w:r>
      <w:r w:rsidR="003E7C1D">
        <w:t>l’</w:t>
      </w:r>
      <w:r w:rsidR="00B655B8">
        <w:t>on présuppose que moins on est religieux, plus on est laïque et que, pour être vraiment laïque, il faut être irreligieux.</w:t>
      </w:r>
    </w:p>
    <w:p w:rsidR="00605F04" w:rsidRPr="00605F04" w:rsidRDefault="00605F04" w:rsidP="00D113B7">
      <w:pPr>
        <w:jc w:val="both"/>
        <w:rPr>
          <w:i/>
        </w:rPr>
      </w:pPr>
      <w:r w:rsidRPr="00605F04">
        <w:rPr>
          <w:i/>
        </w:rPr>
        <w:t>Trois nouvelles laïcités</w:t>
      </w:r>
    </w:p>
    <w:p w:rsidR="00DC7F62" w:rsidRDefault="00B655B8" w:rsidP="00D113B7">
      <w:pPr>
        <w:jc w:val="both"/>
      </w:pPr>
      <w:r>
        <w:lastRenderedPageBreak/>
        <w:t>A ces quatre représentations de la laïcité</w:t>
      </w:r>
      <w:r w:rsidR="003E7C1D">
        <w:t xml:space="preserve"> issues de l’histoire</w:t>
      </w:r>
      <w:r>
        <w:t xml:space="preserve">, s’ajoutent trois nouvelles manières de l’envisager. </w:t>
      </w:r>
    </w:p>
    <w:p w:rsidR="00B655B8" w:rsidRDefault="00DC7F62" w:rsidP="00D113B7">
      <w:pPr>
        <w:jc w:val="both"/>
      </w:pPr>
      <w:r>
        <w:t>D’abord, e</w:t>
      </w:r>
      <w:r w:rsidR="00B655B8">
        <w:t>n 1919, l’Alsace-Moselle est redevenue française et un droit des cultes local</w:t>
      </w:r>
      <w:r w:rsidR="00AF21FB">
        <w:t>, comportant</w:t>
      </w:r>
      <w:r w:rsidR="0076183D">
        <w:t xml:space="preserve"> le Concordat et le régime des cultes reconnus,</w:t>
      </w:r>
      <w:r w:rsidR="00B655B8">
        <w:t xml:space="preserve"> a été maintenu comme « régime transitoire ». </w:t>
      </w:r>
      <w:r w:rsidR="0076183D">
        <w:t>En février 2013, une décision du Conseil consti</w:t>
      </w:r>
      <w:r w:rsidR="003E7C1D">
        <w:t>tutionnel a, de fait, confirmé c</w:t>
      </w:r>
      <w:r w:rsidR="0076183D">
        <w:t xml:space="preserve">e </w:t>
      </w:r>
      <w:proofErr w:type="spellStart"/>
      <w:r w:rsidR="0076183D" w:rsidRPr="0076183D">
        <w:rPr>
          <w:i/>
        </w:rPr>
        <w:t>statu-quo</w:t>
      </w:r>
      <w:proofErr w:type="spellEnd"/>
      <w:r w:rsidR="0076183D">
        <w:t xml:space="preserve">. Cette laïcité concordataire est défendue par les Eglises. Elle leur est très favorable car le financement public des cultes </w:t>
      </w:r>
      <w:r w:rsidR="009B4273">
        <w:t>lié au</w:t>
      </w:r>
      <w:r w:rsidR="003E7C1D">
        <w:t xml:space="preserve"> système antérieur à</w:t>
      </w:r>
      <w:r w:rsidR="0076183D">
        <w:t xml:space="preserve"> 1905 se conjugue</w:t>
      </w:r>
      <w:r w:rsidR="00AF21FB">
        <w:t>,</w:t>
      </w:r>
      <w:r w:rsidR="0076183D">
        <w:t xml:space="preserve"> pour l’essentiel</w:t>
      </w:r>
      <w:r w:rsidR="00AF21FB">
        <w:t>,</w:t>
      </w:r>
      <w:r w:rsidR="0076183D">
        <w:t xml:space="preserve"> avec le </w:t>
      </w:r>
      <w:r w:rsidR="00D10F2A">
        <w:t>« </w:t>
      </w:r>
      <w:r w:rsidR="0076183D">
        <w:t>libre exercice des cultes</w:t>
      </w:r>
      <w:r w:rsidR="00D10F2A">
        <w:t> »</w:t>
      </w:r>
      <w:r w:rsidR="0076183D">
        <w:t xml:space="preserve"> issu de la loi de 1905.</w:t>
      </w:r>
    </w:p>
    <w:p w:rsidR="0076183D" w:rsidRDefault="0076183D" w:rsidP="00D113B7">
      <w:pPr>
        <w:jc w:val="both"/>
      </w:pPr>
      <w:r>
        <w:t>En</w:t>
      </w:r>
      <w:r w:rsidR="00DC7F62">
        <w:t>suite, en</w:t>
      </w:r>
      <w:r>
        <w:t xml:space="preserve"> 1945, l’épiscopat français publie sa première déclaration favorable à la laïcité. La conception qu’il développe peut être qualifiée de laïcité ouverte. Elle condamne le « cléricalisme</w:t>
      </w:r>
      <w:r w:rsidR="00FB7CE6">
        <w:t> » en tant qu’ «immixtion du clergé dans le domaine politique de l’Etat » et affirme que « l’acte de foi » doit  être libre</w:t>
      </w:r>
      <w:r w:rsidR="00AF21FB">
        <w:t xml:space="preserve">. Elle insiste, cependant, sur l’utilité sociale de la religion et sur </w:t>
      </w:r>
      <w:r w:rsidR="009B4273">
        <w:t>« </w:t>
      </w:r>
      <w:r w:rsidR="00AF21FB">
        <w:t>la loi na</w:t>
      </w:r>
      <w:r w:rsidR="009B4273">
        <w:t xml:space="preserve">turelle », qui serait valable pour </w:t>
      </w:r>
      <w:r w:rsidR="008911EE">
        <w:t xml:space="preserve">tout </w:t>
      </w:r>
      <w:r w:rsidR="009B4273">
        <w:t>être humain quelles que soient ses convictions</w:t>
      </w:r>
      <w:r w:rsidR="00AF21FB">
        <w:t>.</w:t>
      </w:r>
      <w:r w:rsidR="008911EE">
        <w:t xml:space="preserve"> Cette « loi naturelle »</w:t>
      </w:r>
      <w:r w:rsidR="00D10F2A">
        <w:t xml:space="preserve"> peut être relativement peu invoqué</w:t>
      </w:r>
      <w:r w:rsidR="008911EE">
        <w:t>e</w:t>
      </w:r>
      <w:r w:rsidR="0001568D">
        <w:t xml:space="preserve"> par la hiérarchie, ce fut le cas lors de la loi Veil sur l’</w:t>
      </w:r>
      <w:r w:rsidR="008911EE">
        <w:t>IVG. Elle peut,</w:t>
      </w:r>
      <w:r w:rsidR="0001568D">
        <w:t xml:space="preserve"> au contraire</w:t>
      </w:r>
      <w:r w:rsidR="008911EE">
        <w:t>,</w:t>
      </w:r>
      <w:r w:rsidR="0001568D">
        <w:t xml:space="preserve"> </w:t>
      </w:r>
      <w:r w:rsidR="00D10F2A">
        <w:t xml:space="preserve">se trouver </w:t>
      </w:r>
      <w:r w:rsidR="0001568D">
        <w:t>mis</w:t>
      </w:r>
      <w:r w:rsidR="008911EE">
        <w:t>e</w:t>
      </w:r>
      <w:r w:rsidR="0001568D">
        <w:t xml:space="preserve"> en avant</w:t>
      </w:r>
      <w:r w:rsidR="008911EE">
        <w:t> ;</w:t>
      </w:r>
      <w:r w:rsidR="009B4273">
        <w:t xml:space="preserve"> ainsi</w:t>
      </w:r>
      <w:r w:rsidR="0001568D">
        <w:t xml:space="preserve"> lors du conflit </w:t>
      </w:r>
      <w:r w:rsidR="009B4273">
        <w:t xml:space="preserve">récent portant </w:t>
      </w:r>
      <w:r w:rsidR="0001568D">
        <w:t>sur le mariage de personnes de même sexe.</w:t>
      </w:r>
      <w:r w:rsidR="00605F04">
        <w:t xml:space="preserve"> On pourrait trouver des problématiques analogues dans d’autres religions.</w:t>
      </w:r>
    </w:p>
    <w:p w:rsidR="0001568D" w:rsidRDefault="0001568D" w:rsidP="00D113B7">
      <w:pPr>
        <w:jc w:val="both"/>
      </w:pPr>
      <w:r>
        <w:t>Enfin, en 2003, le rapport de François Baroin</w:t>
      </w:r>
      <w:r w:rsidR="00E170AC">
        <w:t>,</w:t>
      </w:r>
      <w:r>
        <w:t xml:space="preserve"> « Pour une nouvelle laïcité »</w:t>
      </w:r>
      <w:r w:rsidR="00E170AC">
        <w:t>,</w:t>
      </w:r>
      <w:r w:rsidR="005D538E">
        <w:t xml:space="preserve"> insiste sur la fin du conflit des deux </w:t>
      </w:r>
      <w:r w:rsidR="00DC7F62">
        <w:t xml:space="preserve">France et </w:t>
      </w:r>
      <w:r w:rsidR="00226D8E">
        <w:t>en conclut</w:t>
      </w:r>
      <w:r w:rsidR="005D538E">
        <w:t xml:space="preserve"> que la laïcité serait devenue une marque de « l’identité française »</w:t>
      </w:r>
      <w:r w:rsidR="00D10F2A">
        <w:t>. Nicolas Sarkozy a développ</w:t>
      </w:r>
      <w:r w:rsidR="005D538E">
        <w:t xml:space="preserve">é cette optique </w:t>
      </w:r>
      <w:r w:rsidR="009B4273">
        <w:t>lors de son mandat présidentiel</w:t>
      </w:r>
      <w:r w:rsidR="00DC7F62">
        <w:t xml:space="preserve"> (2007-2012)</w:t>
      </w:r>
      <w:r w:rsidR="009B4273">
        <w:t xml:space="preserve">, </w:t>
      </w:r>
      <w:r w:rsidR="005D538E">
        <w:t>en insistant, dans plusieurs discours</w:t>
      </w:r>
      <w:r w:rsidR="00DC7F62">
        <w:t xml:space="preserve"> dont celui du Latran</w:t>
      </w:r>
      <w:r w:rsidR="00226D8E">
        <w:t>,</w:t>
      </w:r>
      <w:r w:rsidR="005D538E">
        <w:t xml:space="preserve"> sur la nécessité de « valoriser les racines chrétiennes de la France »</w:t>
      </w:r>
      <w:r w:rsidR="00E170AC">
        <w:t xml:space="preserve">. </w:t>
      </w:r>
      <w:r w:rsidR="005D538E">
        <w:t xml:space="preserve"> </w:t>
      </w:r>
      <w:r w:rsidR="00DC7F62">
        <w:t>Il a mis</w:t>
      </w:r>
      <w:r w:rsidR="00E170AC">
        <w:t xml:space="preserve"> en avant une identité</w:t>
      </w:r>
      <w:r w:rsidR="008911EE">
        <w:t xml:space="preserve"> française transhistorique où un</w:t>
      </w:r>
      <w:r w:rsidR="00E170AC">
        <w:t xml:space="preserve"> catho</w:t>
      </w:r>
      <w:r w:rsidR="00226D8E">
        <w:t>licisme</w:t>
      </w:r>
      <w:r w:rsidR="008911EE">
        <w:t xml:space="preserve"> culturalisé</w:t>
      </w:r>
      <w:r w:rsidR="00226D8E">
        <w:t>, d</w:t>
      </w:r>
      <w:r w:rsidR="00E170AC">
        <w:t>épouillé de sa dimension propr</w:t>
      </w:r>
      <w:r w:rsidR="00226D8E">
        <w:t>ement croyante,</w:t>
      </w:r>
      <w:r w:rsidR="00E170AC">
        <w:t xml:space="preserve"> sert de ferment identitaire</w:t>
      </w:r>
      <w:r w:rsidR="009B4273">
        <w:t xml:space="preserve"> à la nation</w:t>
      </w:r>
      <w:r w:rsidR="00226D8E">
        <w:t>. Cela</w:t>
      </w:r>
      <w:r w:rsidR="00E170AC">
        <w:t xml:space="preserve"> face à une religion, l’islam, considérée comme extérieure à la culture française</w:t>
      </w:r>
      <w:r w:rsidR="00DC7F62">
        <w:t>,</w:t>
      </w:r>
      <w:r w:rsidR="00E170AC">
        <w:t xml:space="preserve"> et dont les adeptes devraient faire preuve d’une « humble discrétion »</w:t>
      </w:r>
      <w:r w:rsidR="00226D8E">
        <w:t>,</w:t>
      </w:r>
      <w:r w:rsidR="00E170AC">
        <w:t xml:space="preserve"> du « respect de ce qui était là avant [eux] ». On peut qualifier cette représentation de « laïcité identitaire ».</w:t>
      </w:r>
      <w:r w:rsidR="009B4273">
        <w:t xml:space="preserve"> Elle s’est beaucoup développée ces dix dernières années.</w:t>
      </w:r>
    </w:p>
    <w:p w:rsidR="00D75616" w:rsidRPr="00D75616" w:rsidRDefault="00D75616" w:rsidP="00D113B7">
      <w:pPr>
        <w:jc w:val="both"/>
        <w:rPr>
          <w:i/>
        </w:rPr>
      </w:pPr>
      <w:r w:rsidRPr="00D75616">
        <w:rPr>
          <w:i/>
        </w:rPr>
        <w:t>L’historicité de la laïcité française</w:t>
      </w:r>
    </w:p>
    <w:p w:rsidR="00D10F2A" w:rsidRDefault="00D10F2A" w:rsidP="00D113B7">
      <w:pPr>
        <w:jc w:val="both"/>
      </w:pPr>
      <w:r>
        <w:t>Le changement de contexte, entre l’établissement de la laïcité en France et aujourd’hui est, bie</w:t>
      </w:r>
      <w:r w:rsidR="00226D8E">
        <w:t>n sûr, important. Pourtant,</w:t>
      </w:r>
      <w:r>
        <w:t xml:space="preserve"> l’hi</w:t>
      </w:r>
      <w:r w:rsidR="00226D8E">
        <w:t>storien est frappé par la récurr</w:t>
      </w:r>
      <w:r>
        <w:t>ence de certains thèmes, comme celui de la « République menacée</w:t>
      </w:r>
      <w:r w:rsidR="00226D8E">
        <w:t> ». A</w:t>
      </w:r>
      <w:r>
        <w:t xml:space="preserve"> la fin du XIXe siècle et au début du XXe,</w:t>
      </w:r>
      <w:r w:rsidR="008911EE">
        <w:t xml:space="preserve"> il s’agit</w:t>
      </w:r>
      <w:r w:rsidR="00226D8E">
        <w:t xml:space="preserve"> </w:t>
      </w:r>
      <w:r w:rsidR="008911EE">
        <w:t>d’</w:t>
      </w:r>
      <w:r w:rsidR="00226D8E">
        <w:t>un lieu commun qui justifie</w:t>
      </w:r>
      <w:r>
        <w:t xml:space="preserve"> des mesures de plus en plus dures contre le catholicisme. L’insu</w:t>
      </w:r>
      <w:r w:rsidR="00226D8E">
        <w:t>ccès de chaque mesure légitime l’appel à</w:t>
      </w:r>
      <w:r w:rsidR="00605F04">
        <w:t xml:space="preserve"> une nouvelle mesure plus répressive</w:t>
      </w:r>
      <w:r>
        <w:t>. C’est un engrenage que Clemenceau dénonce quand il affirme que : « pour lutter contre la congrégation, on transforme la France en</w:t>
      </w:r>
      <w:r w:rsidR="00B660D1">
        <w:t xml:space="preserve"> une</w:t>
      </w:r>
      <w:r>
        <w:t xml:space="preserve"> immense congrégation »</w:t>
      </w:r>
      <w:r w:rsidR="00605F04">
        <w:t>, et dont la loi de 1905 va s’affranchir, à travers les débats déjà indiqués</w:t>
      </w:r>
      <w:r>
        <w:t>. De même on trouve</w:t>
      </w:r>
      <w:r w:rsidR="00226D8E">
        <w:t>,</w:t>
      </w:r>
      <w:r w:rsidR="00605F04">
        <w:t xml:space="preserve"> dans les discussions parlementaires</w:t>
      </w:r>
      <w:r>
        <w:t xml:space="preserve"> de 1905 sur le port de la soutane</w:t>
      </w:r>
      <w:r w:rsidR="00226D8E">
        <w:t>,</w:t>
      </w:r>
      <w:r>
        <w:t xml:space="preserve"> </w:t>
      </w:r>
      <w:r w:rsidR="0076055A">
        <w:t>un argumentaire pratiquement identique à celui qui se déploie, depuis 1989, à propos du port du foulard.</w:t>
      </w:r>
    </w:p>
    <w:p w:rsidR="009515BF" w:rsidRDefault="00226D8E" w:rsidP="00D113B7">
      <w:pPr>
        <w:jc w:val="both"/>
      </w:pPr>
      <w:r>
        <w:t>Il reste</w:t>
      </w:r>
      <w:r w:rsidR="0076055A">
        <w:t>, cependant, frapp</w:t>
      </w:r>
      <w:r w:rsidR="00C15698">
        <w:t>ant</w:t>
      </w:r>
      <w:r w:rsidR="0076055A">
        <w:t xml:space="preserve"> que</w:t>
      </w:r>
      <w:r w:rsidR="00C15698">
        <w:t>,</w:t>
      </w:r>
      <w:r w:rsidR="0076055A">
        <w:t xml:space="preserve"> lors du vote final</w:t>
      </w:r>
      <w:r w:rsidR="009B4273">
        <w:t xml:space="preserve"> de la loi de 1905</w:t>
      </w:r>
      <w:r w:rsidR="0076055A">
        <w:t>, les partisans des quatre représentations typiques de la laïcité</w:t>
      </w:r>
      <w:r>
        <w:t xml:space="preserve">, après s’être </w:t>
      </w:r>
      <w:r w:rsidR="00C15698">
        <w:t>affrontés</w:t>
      </w:r>
      <w:r>
        <w:t>,</w:t>
      </w:r>
      <w:r w:rsidR="0076055A">
        <w:t xml:space="preserve"> aient tous avalisé</w:t>
      </w:r>
      <w:r w:rsidR="009B4273">
        <w:t xml:space="preserve"> cette</w:t>
      </w:r>
      <w:r w:rsidR="0076055A">
        <w:t xml:space="preserve"> loi.  Au bout du compte, le pari é</w:t>
      </w:r>
      <w:r w:rsidR="009B4273">
        <w:t>noncé par</w:t>
      </w:r>
      <w:r w:rsidR="003132BB">
        <w:t xml:space="preserve"> Jean</w:t>
      </w:r>
      <w:r w:rsidR="009B4273">
        <w:t xml:space="preserve"> Jaurès, en soutien de</w:t>
      </w:r>
      <w:r w:rsidR="0076055A">
        <w:t xml:space="preserve"> Briand, d’une acclimatation ultérieure du catholicisme à une laïcité politiquement libérale</w:t>
      </w:r>
      <w:r w:rsidR="009B4273">
        <w:t>, a été ratifié. Ce pari</w:t>
      </w:r>
      <w:r w:rsidR="0076055A">
        <w:t xml:space="preserve"> fut perdu dans le court terme :</w:t>
      </w:r>
      <w:r w:rsidR="009B4273">
        <w:t xml:space="preserve"> le pape condamna la loi ;</w:t>
      </w:r>
      <w:r w:rsidR="00C272C3">
        <w:t xml:space="preserve"> en fait, Maurice Larkin l’a montré</w:t>
      </w:r>
      <w:r w:rsidR="00D75616">
        <w:rPr>
          <w:rStyle w:val="Appelnotedebasdep"/>
        </w:rPr>
        <w:footnoteReference w:id="17"/>
      </w:r>
      <w:r w:rsidR="00C272C3">
        <w:t>,</w:t>
      </w:r>
      <w:r w:rsidR="0076055A">
        <w:t xml:space="preserve"> non à cause de son contenu, mais par peur de son effet d’</w:t>
      </w:r>
      <w:r w:rsidR="003132BB">
        <w:t>entrainement. La poursuite d’une politique libérale</w:t>
      </w:r>
      <w:r w:rsidR="0076055A">
        <w:t xml:space="preserve"> permit</w:t>
      </w:r>
      <w:r w:rsidR="008911EE">
        <w:t xml:space="preserve"> néanmoins</w:t>
      </w:r>
      <w:r w:rsidR="0076055A">
        <w:t xml:space="preserve"> un </w:t>
      </w:r>
      <w:r w:rsidR="0076055A">
        <w:lastRenderedPageBreak/>
        <w:t>apaisement rapide : dès 1908, la séparation s’applique en dépit du re</w:t>
      </w:r>
      <w:r w:rsidR="008911EE">
        <w:t>fus de Rome. Et le pari</w:t>
      </w:r>
      <w:r w:rsidR="0076055A">
        <w:t xml:space="preserve"> fut</w:t>
      </w:r>
      <w:r w:rsidR="003132BB">
        <w:t xml:space="preserve"> largement</w:t>
      </w:r>
      <w:r w:rsidR="0076055A">
        <w:t xml:space="preserve"> gagné dans le long terme. </w:t>
      </w:r>
    </w:p>
    <w:p w:rsidR="0076055A" w:rsidRDefault="008911EE" w:rsidP="00D113B7">
      <w:pPr>
        <w:jc w:val="both"/>
      </w:pPr>
      <w:r>
        <w:t xml:space="preserve">Aujourd’hui, la situation </w:t>
      </w:r>
      <w:r w:rsidR="0076055A">
        <w:t>para</w:t>
      </w:r>
      <w:r>
        <w:t>it</w:t>
      </w:r>
      <w:r w:rsidR="0076055A">
        <w:t xml:space="preserve"> beaucoup plus incertaine.</w:t>
      </w:r>
      <w:r w:rsidR="009515BF">
        <w:t xml:space="preserve"> Une alliance relative entre la laïcité gallicane et la laïcité identitaire l’emporte dans le discours politique et médiatique.</w:t>
      </w:r>
      <w:r w:rsidR="0076055A">
        <w:t xml:space="preserve"> Pourquoi ?</w:t>
      </w:r>
      <w:r w:rsidR="009515BF">
        <w:t xml:space="preserve"> Dès le début de mes recherches, j’ai insisté sur la nécessité d’une périodisation, étape indispensable pour dissocier la démarche historique de la mémoire collective. J’ai distingué trois seuils de laïcisation</w:t>
      </w:r>
      <w:r w:rsidR="009515BF">
        <w:rPr>
          <w:rStyle w:val="Appelnotedebasdep"/>
        </w:rPr>
        <w:footnoteReference w:id="18"/>
      </w:r>
      <w:r w:rsidR="009515BF">
        <w:t xml:space="preserve">. Sans reprendre explicitement ici la notion de seuils, j’indique </w:t>
      </w:r>
      <w:r w:rsidR="005D15C5">
        <w:t xml:space="preserve">un aspect de </w:t>
      </w:r>
      <w:r w:rsidR="009515BF">
        <w:t>ce qu’elle permet d’analyser dans l</w:t>
      </w:r>
      <w:r w:rsidR="005D15C5">
        <w:t>’évolution d</w:t>
      </w:r>
      <w:r w:rsidR="009515BF">
        <w:t>es rapports de force entre représentations divergentes de la laïcité.</w:t>
      </w:r>
    </w:p>
    <w:p w:rsidR="005D15C5" w:rsidRDefault="00272FF3" w:rsidP="00272FF3">
      <w:pPr>
        <w:jc w:val="both"/>
      </w:pPr>
      <w:r>
        <w:t>La loi de 1905 est la dernière grande loi  d’instauration des libertés publiques par la Troisième République.  On est encore</w:t>
      </w:r>
      <w:r w:rsidR="008911EE">
        <w:t>, en partie,</w:t>
      </w:r>
      <w:r>
        <w:t xml:space="preserve"> dans le contexte où, selon l’expression de Pierre Larousse,</w:t>
      </w:r>
      <w:r>
        <w:fldChar w:fldCharType="begin"/>
      </w:r>
      <w:r>
        <w:instrText xml:space="preserve"> XE "</w:instrText>
      </w:r>
      <w:r w:rsidRPr="00583884">
        <w:instrText>Larousse Pierre</w:instrText>
      </w:r>
      <w:r>
        <w:instrText xml:space="preserve">" </w:instrText>
      </w:r>
      <w:r>
        <w:fldChar w:fldCharType="end"/>
      </w:r>
      <w:r>
        <w:t xml:space="preserve"> prédomine « la foi en la loi du progrès », c’est-à-dire, précise-t-il, </w:t>
      </w:r>
      <w:r w:rsidR="00C15698">
        <w:t xml:space="preserve">en </w:t>
      </w:r>
      <w:r>
        <w:t xml:space="preserve">« cette idée que l’humanité devient de jour en jour meilleure et </w:t>
      </w:r>
      <w:r w:rsidR="008911EE">
        <w:t>plus heure</w:t>
      </w:r>
      <w:r w:rsidR="005D15C5">
        <w:t>use ». Il y a conjonction des progrès : l</w:t>
      </w:r>
      <w:r w:rsidR="008911EE">
        <w:t>e progrès scientifique induit du progrès technique</w:t>
      </w:r>
      <w:r w:rsidR="00E51DA8">
        <w:t xml:space="preserve"> et, g</w:t>
      </w:r>
      <w:r w:rsidR="005D15C5">
        <w:t>râce au</w:t>
      </w:r>
      <w:r w:rsidR="00E51DA8">
        <w:t xml:space="preserve"> progrès de la démocratie,  </w:t>
      </w:r>
      <w:r w:rsidR="008911EE">
        <w:t>génère du progrès social</w:t>
      </w:r>
      <w:r w:rsidR="005D15C5">
        <w:t xml:space="preserve">, </w:t>
      </w:r>
      <w:r w:rsidR="00E51DA8">
        <w:t xml:space="preserve">un </w:t>
      </w:r>
      <w:r w:rsidR="005D15C5">
        <w:t>progrès du bien-être</w:t>
      </w:r>
      <w:r w:rsidR="008911EE">
        <w:t>. Cette vision optimiste a été</w:t>
      </w:r>
      <w:r>
        <w:t xml:space="preserve"> ensuite contredite par les atrocités liées aux deux gue</w:t>
      </w:r>
      <w:r w:rsidR="00DC7F62">
        <w:t>rres mondiales. La colonisation</w:t>
      </w:r>
      <w:r w:rsidR="003132BB">
        <w:t xml:space="preserve"> avait été </w:t>
      </w:r>
      <w:r>
        <w:t xml:space="preserve"> justifiée par la marche en ava</w:t>
      </w:r>
      <w:r w:rsidR="00C15698">
        <w:t xml:space="preserve">nt de la « civilisation », </w:t>
      </w:r>
      <w:r w:rsidR="005D15C5">
        <w:t xml:space="preserve"> l’Europe étant le moteur du progrès, </w:t>
      </w:r>
      <w:r w:rsidR="00DC7F62">
        <w:t xml:space="preserve">elle </w:t>
      </w:r>
      <w:r w:rsidR="00C15698">
        <w:t>s’est trouvée</w:t>
      </w:r>
      <w:r w:rsidR="00DC7F62">
        <w:t xml:space="preserve"> </w:t>
      </w:r>
      <w:r>
        <w:t>mise en cause. On a</w:t>
      </w:r>
      <w:r w:rsidR="003132BB">
        <w:t xml:space="preserve"> alors opposé</w:t>
      </w:r>
      <w:r>
        <w:t xml:space="preserve"> un mauvais progrès guerrier (telle la bombe atomique) et le bon progrès pacifique (tel le nucléaire civil). </w:t>
      </w:r>
      <w:r w:rsidR="005D15C5">
        <w:t xml:space="preserve">Cela permettait de continuer à justifier la confiance dans </w:t>
      </w:r>
      <w:r w:rsidR="00E51DA8">
        <w:t>« </w:t>
      </w:r>
      <w:r w:rsidR="005D15C5">
        <w:t>le progrès</w:t>
      </w:r>
      <w:r w:rsidR="00E51DA8">
        <w:t> »</w:t>
      </w:r>
      <w:r w:rsidR="005D15C5">
        <w:t>.</w:t>
      </w:r>
    </w:p>
    <w:p w:rsidR="00C272C3" w:rsidRDefault="00272FF3" w:rsidP="00272FF3">
      <w:pPr>
        <w:jc w:val="both"/>
      </w:pPr>
      <w:r>
        <w:t xml:space="preserve">Maintenant, </w:t>
      </w:r>
      <w:r w:rsidR="005D15C5">
        <w:t>l’incroyance à l’égard de « la foi en la loi du progrès » s’est développée. O</w:t>
      </w:r>
      <w:r>
        <w:t>n assiste à</w:t>
      </w:r>
      <w:r w:rsidRPr="00667AD4">
        <w:t xml:space="preserve"> une crise des idéologies</w:t>
      </w:r>
      <w:r>
        <w:t xml:space="preserve">  et des institutions séculières, longtemps investies d’un transfert d’</w:t>
      </w:r>
      <w:r w:rsidR="003132BB">
        <w:t> « </w:t>
      </w:r>
      <w:r>
        <w:t>espérance</w:t>
      </w:r>
      <w:r w:rsidR="003132BB">
        <w:t> » (Condorcet)</w:t>
      </w:r>
      <w:r>
        <w:t xml:space="preserve"> du religieux vers le civil</w:t>
      </w:r>
      <w:r w:rsidRPr="00667AD4">
        <w:t>. D</w:t>
      </w:r>
      <w:r>
        <w:t>evenue d</w:t>
      </w:r>
      <w:r w:rsidRPr="00667AD4">
        <w:t>ominante, la sécularisation</w:t>
      </w:r>
      <w:r>
        <w:t xml:space="preserve"> est désenchant</w:t>
      </w:r>
      <w:r w:rsidR="00E51DA8">
        <w:t>ée. La croyance dans les</w:t>
      </w:r>
      <w:r w:rsidRPr="00667AD4">
        <w:t xml:space="preserve"> effets bénéfiques du « progrès » diminue</w:t>
      </w:r>
      <w:r>
        <w:t xml:space="preserve"> avec </w:t>
      </w:r>
      <w:r w:rsidR="00C15698">
        <w:t>le questionnement de la science sur ses propres applications techniques</w:t>
      </w:r>
      <w:r w:rsidR="003132BB">
        <w:t>,</w:t>
      </w:r>
      <w:r w:rsidR="00E51DA8">
        <w:t xml:space="preserve"> et l’avènement de</w:t>
      </w:r>
      <w:r w:rsidR="00C15698">
        <w:t xml:space="preserve"> catastrophes comme </w:t>
      </w:r>
      <w:r w:rsidR="003132BB">
        <w:t xml:space="preserve">Tchernobyl ou </w:t>
      </w:r>
      <w:r w:rsidR="00C15698">
        <w:t>Fukushima</w:t>
      </w:r>
      <w:r>
        <w:t xml:space="preserve">. </w:t>
      </w:r>
      <w:r w:rsidR="00DC7F62">
        <w:t>Il se construit socialement un</w:t>
      </w:r>
      <w:r w:rsidR="00E51DA8">
        <w:t xml:space="preserve"> récit annonçant des cataclysmes</w:t>
      </w:r>
      <w:r w:rsidR="00DC7F62">
        <w:t xml:space="preserve"> écologiques, récit aussi unilatéral que l’ex-fascination du progrès. </w:t>
      </w:r>
      <w:r>
        <w:t>En outre, ce que le politique juge être les « réformes nécessaires » apparait à beaucoup comme produis</w:t>
      </w:r>
      <w:r w:rsidR="00C15698">
        <w:t>ant</w:t>
      </w:r>
      <w:r>
        <w:t xml:space="preserve"> des reculs sociaux</w:t>
      </w:r>
      <w:r w:rsidRPr="00667AD4">
        <w:t xml:space="preserve">. </w:t>
      </w:r>
      <w:r w:rsidR="00C15698">
        <w:t>D</w:t>
      </w:r>
      <w:r>
        <w:t>es schèmes apocalyptiques se</w:t>
      </w:r>
      <w:r w:rsidR="00C15698">
        <w:t xml:space="preserve"> propagent</w:t>
      </w:r>
      <w:r w:rsidR="00E51DA8">
        <w:t>,</w:t>
      </w:r>
      <w:r w:rsidR="00C15698">
        <w:t xml:space="preserve"> de</w:t>
      </w:r>
      <w:r>
        <w:t xml:space="preserve"> séries télévisées à</w:t>
      </w:r>
      <w:r w:rsidR="00E51DA8">
        <w:t xml:space="preserve"> la propagande de</w:t>
      </w:r>
      <w:r>
        <w:t xml:space="preserve"> Daech. </w:t>
      </w:r>
      <w:r w:rsidRPr="00667AD4">
        <w:t>La projection dans l’</w:t>
      </w:r>
      <w:r w:rsidR="003132BB">
        <w:t>avenir est devenue</w:t>
      </w:r>
      <w:r w:rsidRPr="00667AD4">
        <w:t xml:space="preserve"> difficile</w:t>
      </w:r>
      <w:r>
        <w:t xml:space="preserve">. </w:t>
      </w:r>
    </w:p>
    <w:p w:rsidR="00272FF3" w:rsidRDefault="00C15698" w:rsidP="00272FF3">
      <w:pPr>
        <w:jc w:val="both"/>
      </w:pPr>
      <w:r>
        <w:t>Dans ce</w:t>
      </w:r>
      <w:r w:rsidR="00272FF3">
        <w:t xml:space="preserve"> contexte, la</w:t>
      </w:r>
      <w:r w:rsidR="00C272C3">
        <w:t xml:space="preserve"> référence à un </w:t>
      </w:r>
      <w:r w:rsidR="00272FF3">
        <w:t xml:space="preserve"> </w:t>
      </w:r>
      <w:r w:rsidR="00C272C3">
        <w:t>temps originel réinventé</w:t>
      </w:r>
      <w:r w:rsidR="00272FF3">
        <w:t xml:space="preserve"> prend de l’ampleur. </w:t>
      </w:r>
      <w:r w:rsidR="00C272C3">
        <w:t>Il peut s’agir du</w:t>
      </w:r>
      <w:r w:rsidR="00272FF3">
        <w:t xml:space="preserve"> moment fondateur d’une religion qui apparait comme un recours face aux difficultés et aux i</w:t>
      </w:r>
      <w:r w:rsidR="00E51DA8">
        <w:t>njustices du temps présent. Il peut s’agir</w:t>
      </w:r>
      <w:r w:rsidR="00272FF3">
        <w:t xml:space="preserve"> aussi</w:t>
      </w:r>
      <w:r w:rsidR="00C272C3">
        <w:t xml:space="preserve"> de</w:t>
      </w:r>
      <w:r w:rsidR="00272FF3">
        <w:t xml:space="preserve"> l’invocation des Lumières comme passé fondateur</w:t>
      </w:r>
      <w:r w:rsidR="00C272C3">
        <w:t xml:space="preserve">  de la modernité</w:t>
      </w:r>
      <w:r w:rsidR="003132BB">
        <w:t>, à une époque où il était possible de s’émerveiller du « progrès »,</w:t>
      </w:r>
      <w:r w:rsidR="00C272C3">
        <w:t xml:space="preserve"> ou encore, nous l’avons vu, de la réintroduction</w:t>
      </w:r>
      <w:r w:rsidR="008253F9">
        <w:t>,</w:t>
      </w:r>
      <w:r w:rsidR="00C272C3">
        <w:t xml:space="preserve"> dans l’identité politique de la France</w:t>
      </w:r>
      <w:r w:rsidR="008253F9">
        <w:t>,</w:t>
      </w:r>
      <w:r w:rsidR="00C272C3">
        <w:t xml:space="preserve"> de « racines</w:t>
      </w:r>
      <w:r w:rsidR="003132BB">
        <w:t xml:space="preserve"> [culturelles]</w:t>
      </w:r>
      <w:r w:rsidR="00C272C3">
        <w:t xml:space="preserve"> chrétiennes ». Toutes ces démarches</w:t>
      </w:r>
      <w:r w:rsidR="008253F9">
        <w:t xml:space="preserve"> divergentes</w:t>
      </w:r>
      <w:r w:rsidR="00C272C3">
        <w:t xml:space="preserve"> ont en commun la mise e</w:t>
      </w:r>
      <w:r w:rsidR="003132BB">
        <w:t>n avant d’un passé</w:t>
      </w:r>
      <w:r w:rsidR="00E51DA8">
        <w:t xml:space="preserve"> mythique,</w:t>
      </w:r>
      <w:r w:rsidR="003132BB">
        <w:t xml:space="preserve"> liée à</w:t>
      </w:r>
      <w:r w:rsidR="00C272C3">
        <w:t xml:space="preserve"> la crainte de lendemains qui déchantent. </w:t>
      </w:r>
      <w:r w:rsidR="00E51DA8">
        <w:t>Alors le citoyen prend le relais du chercheur et pose une question : s</w:t>
      </w:r>
      <w:r w:rsidR="000D7F1F">
        <w:t>aurons-nous relever les défis du temps présent</w:t>
      </w:r>
      <w:r w:rsidR="003132BB">
        <w:t>,</w:t>
      </w:r>
      <w:r w:rsidR="00E51DA8">
        <w:t xml:space="preserve"> affronter l’avenir</w:t>
      </w:r>
      <w:r w:rsidR="003132BB">
        <w:t xml:space="preserve"> et isoler les extrémistes violents,</w:t>
      </w:r>
      <w:r w:rsidR="000D7F1F">
        <w:t xml:space="preserve"> par des paris aussi audacieux que celui </w:t>
      </w:r>
      <w:r w:rsidR="00E51DA8">
        <w:t xml:space="preserve">qui fut </w:t>
      </w:r>
      <w:r w:rsidR="000D7F1F">
        <w:t>effectué</w:t>
      </w:r>
      <w:r w:rsidR="008253F9">
        <w:t xml:space="preserve"> en 1905</w:t>
      </w:r>
      <w:r w:rsidR="000D7F1F">
        <w:t xml:space="preserve"> par Briand et Jaurès ?</w:t>
      </w:r>
    </w:p>
    <w:p w:rsidR="00272FF3" w:rsidRDefault="00272FF3" w:rsidP="00272FF3">
      <w:pPr>
        <w:jc w:val="both"/>
      </w:pPr>
    </w:p>
    <w:p w:rsidR="00591509" w:rsidRDefault="00591509" w:rsidP="00D113B7">
      <w:pPr>
        <w:jc w:val="both"/>
      </w:pPr>
    </w:p>
    <w:p w:rsidR="00961EF3" w:rsidRDefault="00961EF3" w:rsidP="00D113B7">
      <w:pPr>
        <w:jc w:val="both"/>
      </w:pPr>
      <w:bookmarkStart w:id="0" w:name="_GoBack"/>
      <w:bookmarkEnd w:id="0"/>
    </w:p>
    <w:p w:rsidR="00077245" w:rsidRDefault="00077245" w:rsidP="00D113B7">
      <w:pPr>
        <w:jc w:val="both"/>
      </w:pPr>
    </w:p>
    <w:p w:rsidR="001517A8" w:rsidRDefault="00077245" w:rsidP="00D113B7">
      <w:pPr>
        <w:jc w:val="both"/>
      </w:pPr>
      <w:r>
        <w:t xml:space="preserve"> </w:t>
      </w:r>
    </w:p>
    <w:sectPr w:rsidR="0015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49" w:rsidRDefault="00DA2A49" w:rsidP="00272FF3">
      <w:pPr>
        <w:spacing w:after="0" w:line="240" w:lineRule="auto"/>
      </w:pPr>
      <w:r>
        <w:separator/>
      </w:r>
    </w:p>
  </w:endnote>
  <w:endnote w:type="continuationSeparator" w:id="0">
    <w:p w:rsidR="00DA2A49" w:rsidRDefault="00DA2A49" w:rsidP="0027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49" w:rsidRDefault="00DA2A49" w:rsidP="00272FF3">
      <w:pPr>
        <w:spacing w:after="0" w:line="240" w:lineRule="auto"/>
      </w:pPr>
      <w:r>
        <w:separator/>
      </w:r>
    </w:p>
  </w:footnote>
  <w:footnote w:type="continuationSeparator" w:id="0">
    <w:p w:rsidR="00DA2A49" w:rsidRDefault="00DA2A49" w:rsidP="00272FF3">
      <w:pPr>
        <w:spacing w:after="0" w:line="240" w:lineRule="auto"/>
      </w:pPr>
      <w:r>
        <w:continuationSeparator/>
      </w:r>
    </w:p>
  </w:footnote>
  <w:footnote w:id="1">
    <w:p w:rsidR="000442C8" w:rsidRDefault="000442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442C8">
        <w:rPr>
          <w:i/>
        </w:rPr>
        <w:t>Le rapport Briand</w:t>
      </w:r>
      <w:r w:rsidR="00F43D18">
        <w:t>, Avant-</w:t>
      </w:r>
      <w:r>
        <w:t>propos de J.-L. Debré, président de l’Assemblée nationale, Paris, Assemblée nationale, 2005.</w:t>
      </w:r>
    </w:p>
  </w:footnote>
  <w:footnote w:id="2">
    <w:p w:rsidR="004F1D5C" w:rsidRPr="006459F6" w:rsidRDefault="004F1D5C" w:rsidP="004F1D5C">
      <w:pPr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6459F6">
        <w:rPr>
          <w:sz w:val="20"/>
          <w:szCs w:val="20"/>
        </w:rPr>
        <w:t xml:space="preserve">Cependant, il faut souligner que les analyses de </w:t>
      </w:r>
      <w:r w:rsidRPr="006459F6">
        <w:rPr>
          <w:sz w:val="20"/>
          <w:szCs w:val="20"/>
        </w:rPr>
        <w:t>Briand</w:t>
      </w:r>
      <w:r w:rsidRPr="006459F6">
        <w:rPr>
          <w:sz w:val="20"/>
          <w:szCs w:val="20"/>
        </w:rPr>
        <w:t xml:space="preserve"> sont fines. Ainsi il</w:t>
      </w:r>
      <w:r w:rsidRPr="006459F6">
        <w:rPr>
          <w:sz w:val="20"/>
          <w:szCs w:val="20"/>
        </w:rPr>
        <w:t xml:space="preserve"> considérait que</w:t>
      </w:r>
      <w:r w:rsidRPr="006459F6">
        <w:rPr>
          <w:sz w:val="20"/>
          <w:szCs w:val="20"/>
        </w:rPr>
        <w:t>,</w:t>
      </w:r>
      <w:r w:rsidRPr="006459F6">
        <w:rPr>
          <w:sz w:val="20"/>
          <w:szCs w:val="20"/>
        </w:rPr>
        <w:t xml:space="preserve"> si la séparation était effective aux États-Unis (depuis 1791), cela n’empêchait pas des risques de cléricalisme.</w:t>
      </w:r>
      <w:r w:rsidRPr="006459F6">
        <w:rPr>
          <w:sz w:val="20"/>
          <w:szCs w:val="20"/>
        </w:rPr>
        <w:t xml:space="preserve"> Selon lui</w:t>
      </w:r>
      <w:r w:rsidRPr="006459F6">
        <w:rPr>
          <w:sz w:val="20"/>
          <w:szCs w:val="20"/>
        </w:rPr>
        <w:t xml:space="preserve"> </w:t>
      </w:r>
      <w:r w:rsidRPr="006459F6">
        <w:rPr>
          <w:sz w:val="20"/>
          <w:szCs w:val="20"/>
        </w:rPr>
        <w:t xml:space="preserve">« Le Mexique </w:t>
      </w:r>
      <w:proofErr w:type="spellStart"/>
      <w:proofErr w:type="gramStart"/>
      <w:r w:rsidRPr="006459F6">
        <w:rPr>
          <w:sz w:val="20"/>
          <w:szCs w:val="20"/>
        </w:rPr>
        <w:t>possèd</w:t>
      </w:r>
      <w:proofErr w:type="spellEnd"/>
      <w:r w:rsidRPr="006459F6">
        <w:rPr>
          <w:sz w:val="20"/>
          <w:szCs w:val="20"/>
        </w:rPr>
        <w:t>[</w:t>
      </w:r>
      <w:proofErr w:type="gramEnd"/>
      <w:r w:rsidRPr="006459F6">
        <w:rPr>
          <w:sz w:val="20"/>
          <w:szCs w:val="20"/>
        </w:rPr>
        <w:t>ait]</w:t>
      </w:r>
      <w:r w:rsidRPr="006459F6">
        <w:rPr>
          <w:sz w:val="20"/>
          <w:szCs w:val="20"/>
        </w:rPr>
        <w:t xml:space="preserve"> la législation laïque la plus complète</w:t>
      </w:r>
      <w:r w:rsidRPr="006459F6">
        <w:rPr>
          <w:sz w:val="20"/>
          <w:szCs w:val="20"/>
        </w:rPr>
        <w:t> »</w:t>
      </w:r>
      <w:r w:rsidR="00F43D18">
        <w:rPr>
          <w:sz w:val="20"/>
          <w:szCs w:val="20"/>
        </w:rPr>
        <w:t>. Et</w:t>
      </w:r>
      <w:r w:rsidRPr="006459F6">
        <w:rPr>
          <w:sz w:val="20"/>
          <w:szCs w:val="20"/>
        </w:rPr>
        <w:t xml:space="preserve"> le rapporteur citait aussi le Canada, le Brésil,….</w:t>
      </w:r>
    </w:p>
    <w:p w:rsidR="004F1D5C" w:rsidRDefault="004F1D5C">
      <w:pPr>
        <w:pStyle w:val="Notedebasdepage"/>
      </w:pPr>
    </w:p>
  </w:footnote>
  <w:footnote w:id="3">
    <w:p w:rsidR="004F1D5C" w:rsidRDefault="004F1D5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72378">
        <w:t>Le Mexique a séparé l</w:t>
      </w:r>
      <w:r>
        <w:t>’É</w:t>
      </w:r>
      <w:r w:rsidRPr="00772378">
        <w:t>glise catholique de l</w:t>
      </w:r>
      <w:r>
        <w:t>’É</w:t>
      </w:r>
      <w:r w:rsidRPr="00772378">
        <w:t>tat en 1859 et, après l</w:t>
      </w:r>
      <w:r>
        <w:t>’</w:t>
      </w:r>
      <w:r w:rsidRPr="00772378">
        <w:t>épisode de l</w:t>
      </w:r>
      <w:r>
        <w:t>’e</w:t>
      </w:r>
      <w:r w:rsidRPr="00772378">
        <w:t>mpereur Maximilien imposé par Napoléon</w:t>
      </w:r>
      <w:r>
        <w:t> </w:t>
      </w:r>
      <w:r w:rsidRPr="00772378">
        <w:t>III, a confirmé cette séparation en 1874.</w:t>
      </w:r>
      <w:r>
        <w:t xml:space="preserve"> </w:t>
      </w:r>
      <w:r w:rsidRPr="00772378">
        <w:t>Or les églises mexicaines continuaient à être très fréquentées</w:t>
      </w:r>
      <w:r>
        <w:t>, c’est pourquoi l’exemple mexicain est cité en 1905, et pas seulement par Briand.</w:t>
      </w:r>
    </w:p>
  </w:footnote>
  <w:footnote w:id="4">
    <w:p w:rsidR="006459F6" w:rsidRPr="006459F6" w:rsidRDefault="006459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lev"/>
          <w:rFonts w:ascii="Helvetica" w:hAnsi="Helvetica"/>
          <w:b w:val="0"/>
          <w:iCs/>
          <w:lang w:val="en"/>
        </w:rPr>
        <w:t>Cf.</w:t>
      </w:r>
      <w:r>
        <w:rPr>
          <w:rStyle w:val="lev"/>
          <w:rFonts w:ascii="Helvetica" w:hAnsi="Helvetica"/>
          <w:i/>
          <w:iCs/>
          <w:lang w:val="en"/>
        </w:rPr>
        <w:t xml:space="preserve"> </w:t>
      </w:r>
      <w:r>
        <w:rPr>
          <w:rStyle w:val="lev"/>
          <w:rFonts w:ascii="Helvetica" w:hAnsi="Helvetica"/>
          <w:i/>
          <w:iCs/>
          <w:lang w:val="en"/>
        </w:rPr>
        <w:t>http://www.lemonde.fr/idees/article_interactif/2005/12/09/</w:t>
      </w:r>
      <w:hyperlink r:id="rId1" w:history="1">
        <w:r>
          <w:rPr>
            <w:rStyle w:val="Lienhypertexte"/>
            <w:rFonts w:ascii="Helvetica" w:hAnsi="Helvetica"/>
            <w:b/>
            <w:bCs/>
            <w:i/>
            <w:iCs/>
            <w:lang w:val="en"/>
          </w:rPr>
          <w:t xml:space="preserve">déclaration </w:t>
        </w:r>
        <w:proofErr w:type="spellStart"/>
        <w:r>
          <w:rPr>
            <w:rStyle w:val="Lienhypertexte"/>
            <w:rFonts w:ascii="Helvetica" w:hAnsi="Helvetica"/>
            <w:b/>
            <w:bCs/>
            <w:i/>
            <w:iCs/>
            <w:lang w:val="en"/>
          </w:rPr>
          <w:t>universelle</w:t>
        </w:r>
        <w:proofErr w:type="spellEnd"/>
        <w:r>
          <w:rPr>
            <w:rStyle w:val="Lienhypertexte"/>
            <w:rFonts w:ascii="Helvetica" w:hAnsi="Helvetica"/>
            <w:b/>
            <w:bCs/>
            <w:i/>
            <w:iCs/>
            <w:lang w:val="en"/>
          </w:rPr>
          <w:t xml:space="preserve"> sur la </w:t>
        </w:r>
        <w:proofErr w:type="spellStart"/>
        <w:r>
          <w:rPr>
            <w:rStyle w:val="Lienhypertexte"/>
            <w:rFonts w:ascii="Helvetica" w:hAnsi="Helvetica"/>
            <w:b/>
            <w:bCs/>
            <w:i/>
            <w:iCs/>
            <w:lang w:val="en"/>
          </w:rPr>
          <w:t>laïcité</w:t>
        </w:r>
        <w:proofErr w:type="spellEnd"/>
        <w:r>
          <w:rPr>
            <w:rStyle w:val="Lienhypertexte"/>
            <w:rFonts w:ascii="Helvetica" w:hAnsi="Helvetica"/>
            <w:b/>
            <w:bCs/>
            <w:i/>
            <w:iCs/>
            <w:lang w:val="en"/>
          </w:rPr>
          <w:t xml:space="preserve"> au XXIᵉ siècle</w:t>
        </w:r>
      </w:hyperlink>
      <w:r>
        <w:rPr>
          <w:rStyle w:val="lev"/>
          <w:rFonts w:ascii="Helvetica" w:hAnsi="Helvetica"/>
          <w:i/>
          <w:iCs/>
          <w:lang w:val="en"/>
        </w:rPr>
        <w:t>_718769-3232.htlm</w:t>
      </w:r>
      <w:r>
        <w:rPr>
          <w:rStyle w:val="lev"/>
          <w:rFonts w:ascii="Helvetica" w:hAnsi="Helvetica"/>
          <w:b w:val="0"/>
          <w:iCs/>
          <w:lang w:val="en"/>
        </w:rPr>
        <w:t>.</w:t>
      </w:r>
    </w:p>
  </w:footnote>
  <w:footnote w:id="5">
    <w:p w:rsidR="00B74B0B" w:rsidRDefault="00B74B0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74B0B">
        <w:rPr>
          <w:i/>
        </w:rPr>
        <w:t>L’Eglise catholique et l’Etat sous la Troisième république (1870-1906)</w:t>
      </w:r>
      <w:r>
        <w:t>, Paris, Félix Alcan, 1906 (tome 1), 1909 (tome 2).</w:t>
      </w:r>
    </w:p>
  </w:footnote>
  <w:footnote w:id="6">
    <w:p w:rsidR="006459F6" w:rsidRDefault="006459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74B0B">
        <w:rPr>
          <w:i/>
        </w:rPr>
        <w:t>L’Eglise et l’Etat en France.1905 : la crise de la séparation</w:t>
      </w:r>
      <w:r w:rsidR="000442C8">
        <w:t>,</w:t>
      </w:r>
      <w:r>
        <w:t xml:space="preserve"> Toulouse, Privat</w:t>
      </w:r>
      <w:r w:rsidR="000442C8">
        <w:t>, 2004</w:t>
      </w:r>
      <w:r>
        <w:t xml:space="preserve"> (</w:t>
      </w:r>
      <w:r w:rsidR="00B74B0B">
        <w:t xml:space="preserve">éd. </w:t>
      </w:r>
      <w:r w:rsidR="00546047">
        <w:t>f</w:t>
      </w:r>
      <w:r w:rsidR="00B74B0B">
        <w:t xml:space="preserve">rançaise revue par l’auteur de </w:t>
      </w:r>
      <w:r w:rsidRPr="00B74B0B">
        <w:rPr>
          <w:i/>
        </w:rPr>
        <w:t>Church and State after the</w:t>
      </w:r>
      <w:r>
        <w:t xml:space="preserve"> </w:t>
      </w:r>
      <w:r w:rsidRPr="00B74B0B">
        <w:rPr>
          <w:i/>
        </w:rPr>
        <w:t xml:space="preserve">Dreyfus </w:t>
      </w:r>
      <w:proofErr w:type="spellStart"/>
      <w:r w:rsidRPr="00B74B0B">
        <w:rPr>
          <w:i/>
        </w:rPr>
        <w:t>Affair</w:t>
      </w:r>
      <w:proofErr w:type="spellEnd"/>
      <w:r w:rsidRPr="00B74B0B">
        <w:rPr>
          <w:i/>
        </w:rPr>
        <w:t xml:space="preserve">. The </w:t>
      </w:r>
      <w:proofErr w:type="spellStart"/>
      <w:r w:rsidRPr="00B74B0B">
        <w:rPr>
          <w:i/>
        </w:rPr>
        <w:t>Separation</w:t>
      </w:r>
      <w:proofErr w:type="spellEnd"/>
      <w:r w:rsidRPr="00B74B0B">
        <w:rPr>
          <w:i/>
        </w:rPr>
        <w:t xml:space="preserve"> issue in France</w:t>
      </w:r>
      <w:r>
        <w:t xml:space="preserve">, London, The Macmillan </w:t>
      </w:r>
      <w:proofErr w:type="spellStart"/>
      <w:r>
        <w:t>Press</w:t>
      </w:r>
      <w:proofErr w:type="spellEnd"/>
      <w:r>
        <w:t>, 1974)</w:t>
      </w:r>
      <w:r w:rsidR="00C7647B">
        <w:t>. J.-M. Mayeur soulignait</w:t>
      </w:r>
      <w:r w:rsidR="00F43D18">
        <w:t>, dans sa préface, qu</w:t>
      </w:r>
      <w:r w:rsidR="00C7647B">
        <w:t>e ce livre est</w:t>
      </w:r>
      <w:r w:rsidR="00F43D18">
        <w:t xml:space="preserve"> « le seul ouvrage de cette ampleur sur ce sujet [de la loi de </w:t>
      </w:r>
      <w:r w:rsidR="00C7647B">
        <w:t xml:space="preserve">1905], de première main, accessible au grand public ». Cela est toujours exact </w:t>
      </w:r>
      <w:r>
        <w:t xml:space="preserve">; </w:t>
      </w:r>
      <w:r w:rsidR="00B74B0B" w:rsidRPr="00B74B0B">
        <w:rPr>
          <w:i/>
        </w:rPr>
        <w:t xml:space="preserve">Religion, </w:t>
      </w:r>
      <w:proofErr w:type="spellStart"/>
      <w:r w:rsidR="00B74B0B" w:rsidRPr="00B74B0B">
        <w:rPr>
          <w:i/>
        </w:rPr>
        <w:t>politics</w:t>
      </w:r>
      <w:proofErr w:type="spellEnd"/>
      <w:r w:rsidR="00B74B0B" w:rsidRPr="00B74B0B">
        <w:rPr>
          <w:i/>
        </w:rPr>
        <w:t xml:space="preserve"> and </w:t>
      </w:r>
      <w:proofErr w:type="spellStart"/>
      <w:r w:rsidR="00B74B0B" w:rsidRPr="00B74B0B">
        <w:rPr>
          <w:i/>
        </w:rPr>
        <w:t>preferment</w:t>
      </w:r>
      <w:proofErr w:type="spellEnd"/>
      <w:r w:rsidR="00B74B0B" w:rsidRPr="00B74B0B">
        <w:rPr>
          <w:i/>
        </w:rPr>
        <w:t xml:space="preserve"> in France </w:t>
      </w:r>
      <w:proofErr w:type="spellStart"/>
      <w:r w:rsidR="00B74B0B" w:rsidRPr="00B74B0B">
        <w:rPr>
          <w:i/>
        </w:rPr>
        <w:t>since</w:t>
      </w:r>
      <w:proofErr w:type="spellEnd"/>
      <w:r w:rsidR="00B74B0B" w:rsidRPr="00B74B0B">
        <w:rPr>
          <w:i/>
        </w:rPr>
        <w:t xml:space="preserve"> 1890</w:t>
      </w:r>
      <w:r w:rsidR="000442C8">
        <w:t>,</w:t>
      </w:r>
      <w:r w:rsidR="00B74B0B">
        <w:t xml:space="preserve"> Cambridge, Cambridge </w:t>
      </w:r>
      <w:proofErr w:type="spellStart"/>
      <w:r w:rsidR="00B74B0B">
        <w:t>University</w:t>
      </w:r>
      <w:proofErr w:type="spellEnd"/>
      <w:r w:rsidR="00B74B0B">
        <w:t xml:space="preserve"> </w:t>
      </w:r>
      <w:proofErr w:type="spellStart"/>
      <w:r w:rsidR="00B74B0B">
        <w:t>Press</w:t>
      </w:r>
      <w:proofErr w:type="spellEnd"/>
      <w:r w:rsidR="00B74B0B">
        <w:t>,</w:t>
      </w:r>
      <w:r w:rsidR="000442C8">
        <w:t xml:space="preserve"> 1995.</w:t>
      </w:r>
    </w:p>
  </w:footnote>
  <w:footnote w:id="7">
    <w:p w:rsidR="00B74B0B" w:rsidRDefault="00B74B0B">
      <w:pPr>
        <w:pStyle w:val="Notedebasdepage"/>
      </w:pPr>
      <w:r>
        <w:rPr>
          <w:rStyle w:val="Appelnotedebasdep"/>
        </w:rPr>
        <w:footnoteRef/>
      </w:r>
      <w:r>
        <w:t xml:space="preserve"> La séparation des Eglises et de l’</w:t>
      </w:r>
      <w:r w:rsidR="000442C8">
        <w:t>Etat,</w:t>
      </w:r>
      <w:r>
        <w:t xml:space="preserve"> Paris, L’Atelier</w:t>
      </w:r>
      <w:r w:rsidR="000442C8">
        <w:t>, 2005</w:t>
      </w:r>
      <w:r>
        <w:t xml:space="preserve"> (3</w:t>
      </w:r>
      <w:r w:rsidRPr="00B74B0B">
        <w:rPr>
          <w:vertAlign w:val="superscript"/>
        </w:rPr>
        <w:t>ème</w:t>
      </w:r>
      <w:r>
        <w:t xml:space="preserve"> éd. Revue, 1966).</w:t>
      </w:r>
    </w:p>
  </w:footnote>
  <w:footnote w:id="8">
    <w:p w:rsidR="00546047" w:rsidRDefault="0054604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46047">
        <w:rPr>
          <w:i/>
        </w:rPr>
        <w:t>Les sept laïcités françaises. Le modèle français de laïcité n’existe pas</w:t>
      </w:r>
      <w:r>
        <w:t>, Paris FMSH éditions, 2015.</w:t>
      </w:r>
    </w:p>
  </w:footnote>
  <w:footnote w:id="9">
    <w:p w:rsidR="000442C8" w:rsidRDefault="000442C8">
      <w:pPr>
        <w:pStyle w:val="Notedebasdepage"/>
      </w:pPr>
      <w:r>
        <w:rPr>
          <w:rStyle w:val="Appelnotedebasdep"/>
        </w:rPr>
        <w:footnoteRef/>
      </w:r>
      <w:r>
        <w:t xml:space="preserve"> On les trouvera dans l’ouvrage indiqué.</w:t>
      </w:r>
    </w:p>
  </w:footnote>
  <w:footnote w:id="10">
    <w:p w:rsidR="00546047" w:rsidRDefault="0054604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46047">
        <w:rPr>
          <w:i/>
        </w:rPr>
        <w:t>L’Ethique protestante et l’esprit du capitalisme suivi d’autres essais</w:t>
      </w:r>
      <w:r>
        <w:t xml:space="preserve"> (présentation et traduct</w:t>
      </w:r>
      <w:r w:rsidR="000442C8">
        <w:t xml:space="preserve">ion de J.-P. </w:t>
      </w:r>
      <w:proofErr w:type="spellStart"/>
      <w:r w:rsidR="000442C8">
        <w:t>Grossein</w:t>
      </w:r>
      <w:proofErr w:type="spellEnd"/>
      <w:r w:rsidR="000442C8">
        <w:t>)</w:t>
      </w:r>
      <w:r>
        <w:t>, Paris, Gallimard</w:t>
      </w:r>
      <w:r w:rsidR="000442C8">
        <w:t>, 2003 [1904-</w:t>
      </w:r>
      <w:r w:rsidR="000442C8">
        <w:t>1905</w:t>
      </w:r>
      <w:r w:rsidR="000442C8">
        <w:t>)</w:t>
      </w:r>
      <w:r>
        <w:t xml:space="preserve">. </w:t>
      </w:r>
    </w:p>
  </w:footnote>
  <w:footnote w:id="11">
    <w:p w:rsidR="00D75616" w:rsidRDefault="00D75616">
      <w:pPr>
        <w:pStyle w:val="Notedebasdepage"/>
      </w:pPr>
      <w:r>
        <w:rPr>
          <w:rStyle w:val="Appelnotedebasdep"/>
        </w:rPr>
        <w:footnoteRef/>
      </w:r>
      <w:r>
        <w:t xml:space="preserve"> Tout en distinguant, dans les accusations portées par les médias entre les « véritables » atteintes et ce qui, parfois, n’est que l’application de la loi de 1905 et du dispositif juridique de la laïcité.</w:t>
      </w:r>
    </w:p>
  </w:footnote>
  <w:footnote w:id="12">
    <w:p w:rsidR="0069486A" w:rsidRDefault="0069486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9486A">
        <w:rPr>
          <w:i/>
        </w:rPr>
        <w:t>Scruter la loi de 1905. La République française et les religions</w:t>
      </w:r>
      <w:r>
        <w:t>, Paris, Fayard, 2010</w:t>
      </w:r>
    </w:p>
  </w:footnote>
  <w:footnote w:id="13">
    <w:p w:rsidR="0069486A" w:rsidRDefault="0069486A">
      <w:pPr>
        <w:pStyle w:val="Notedebasdepage"/>
      </w:pPr>
      <w:r>
        <w:rPr>
          <w:rStyle w:val="Appelnotedebasdep"/>
        </w:rPr>
        <w:footnoteRef/>
      </w:r>
      <w:r>
        <w:t xml:space="preserve"> Haut Conseil à l’Intégration, </w:t>
      </w:r>
      <w:r w:rsidR="00D75616" w:rsidRPr="00D75616">
        <w:rPr>
          <w:i/>
        </w:rPr>
        <w:t>Charte de la laïcité dans les services publics et autres avis</w:t>
      </w:r>
      <w:r w:rsidR="00D75616">
        <w:t>, Paris, La documentation française, 2007.</w:t>
      </w:r>
    </w:p>
  </w:footnote>
  <w:footnote w:id="14">
    <w:p w:rsidR="0069486A" w:rsidRDefault="0069486A">
      <w:pPr>
        <w:pStyle w:val="Notedebasdepage"/>
      </w:pPr>
      <w:r>
        <w:rPr>
          <w:rStyle w:val="Appelnotedebasdep"/>
        </w:rPr>
        <w:footnoteRef/>
      </w:r>
      <w:r>
        <w:t xml:space="preserve"> 11-17 mars 2016.</w:t>
      </w:r>
    </w:p>
  </w:footnote>
  <w:footnote w:id="15">
    <w:p w:rsidR="00D75616" w:rsidRDefault="00D75616">
      <w:pPr>
        <w:pStyle w:val="Notedebasdepage"/>
      </w:pPr>
      <w:r>
        <w:rPr>
          <w:rStyle w:val="Appelnotedebasdep"/>
        </w:rPr>
        <w:footnoteRef/>
      </w:r>
      <w:r>
        <w:t xml:space="preserve"> De manière indirecte : l’article 27 semble privilégier la continuité, mais en fait il n’en est rien (et cela est explicitement indiqué dans les débats) car les limitations à ces manifestations publiques provenaient des Articles organiques, abolis par l’article 44 de la loi.</w:t>
      </w:r>
    </w:p>
  </w:footnote>
  <w:footnote w:id="16">
    <w:p w:rsidR="00D75616" w:rsidRDefault="00D7561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75616">
        <w:rPr>
          <w:i/>
        </w:rPr>
        <w:t>Traité d’</w:t>
      </w:r>
      <w:proofErr w:type="spellStart"/>
      <w:r w:rsidRPr="00D75616">
        <w:rPr>
          <w:i/>
        </w:rPr>
        <w:t>athéologie</w:t>
      </w:r>
      <w:proofErr w:type="spellEnd"/>
      <w:r>
        <w:t>, Paris, Grasset, 2005.</w:t>
      </w:r>
    </w:p>
  </w:footnote>
  <w:footnote w:id="17">
    <w:p w:rsidR="00D75616" w:rsidRDefault="00D75616">
      <w:pPr>
        <w:pStyle w:val="Notedebasdepage"/>
      </w:pPr>
      <w:r>
        <w:rPr>
          <w:rStyle w:val="Appelnotedebasdep"/>
        </w:rPr>
        <w:footnoteRef/>
      </w:r>
      <w:r>
        <w:t xml:space="preserve"> In </w:t>
      </w:r>
      <w:r w:rsidRPr="00D75616">
        <w:rPr>
          <w:i/>
        </w:rPr>
        <w:t>L’Eglise et l’Etat</w:t>
      </w:r>
      <w:r>
        <w:t xml:space="preserve">, … </w:t>
      </w:r>
    </w:p>
  </w:footnote>
  <w:footnote w:id="18">
    <w:p w:rsidR="009515BF" w:rsidRDefault="009515BF">
      <w:pPr>
        <w:pStyle w:val="Notedebasdepage"/>
      </w:pPr>
      <w:r>
        <w:rPr>
          <w:rStyle w:val="Appelnotedebasdep"/>
        </w:rPr>
        <w:footnoteRef/>
      </w:r>
      <w:r w:rsidR="00E51DA8">
        <w:t xml:space="preserve"> On trouvera une</w:t>
      </w:r>
      <w:r w:rsidR="005D15C5">
        <w:t xml:space="preserve"> </w:t>
      </w:r>
      <w:r>
        <w:t xml:space="preserve">présentation </w:t>
      </w:r>
      <w:r w:rsidR="00E51DA8">
        <w:t xml:space="preserve">détaillée </w:t>
      </w:r>
      <w:r>
        <w:t xml:space="preserve">des seuils de laïcisation, </w:t>
      </w:r>
      <w:r w:rsidRPr="00E51DA8">
        <w:rPr>
          <w:i/>
        </w:rPr>
        <w:t>in</w:t>
      </w:r>
      <w:r>
        <w:t xml:space="preserve"> J. Baubérot – M. Milot, </w:t>
      </w:r>
      <w:r w:rsidR="005D15C5" w:rsidRPr="005D15C5">
        <w:rPr>
          <w:i/>
        </w:rPr>
        <w:t>Laïcités sans</w:t>
      </w:r>
      <w:r w:rsidR="005D15C5">
        <w:t xml:space="preserve"> </w:t>
      </w:r>
      <w:r w:rsidR="005D15C5" w:rsidRPr="005D15C5">
        <w:rPr>
          <w:i/>
        </w:rPr>
        <w:t>frontières</w:t>
      </w:r>
      <w:r w:rsidR="005D15C5">
        <w:t>, Paris, Seuil, 2011.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B7"/>
    <w:rsid w:val="0001568D"/>
    <w:rsid w:val="000442C8"/>
    <w:rsid w:val="000544EE"/>
    <w:rsid w:val="00077245"/>
    <w:rsid w:val="000C0C79"/>
    <w:rsid w:val="000D7F1F"/>
    <w:rsid w:val="00123B68"/>
    <w:rsid w:val="001517A8"/>
    <w:rsid w:val="001803D2"/>
    <w:rsid w:val="00226D8E"/>
    <w:rsid w:val="002324D5"/>
    <w:rsid w:val="00272FF3"/>
    <w:rsid w:val="002743A4"/>
    <w:rsid w:val="002E6B68"/>
    <w:rsid w:val="003132BB"/>
    <w:rsid w:val="003B41AD"/>
    <w:rsid w:val="003E7C1D"/>
    <w:rsid w:val="0042033F"/>
    <w:rsid w:val="004B5E17"/>
    <w:rsid w:val="004D32EE"/>
    <w:rsid w:val="004E53AB"/>
    <w:rsid w:val="004F1D5C"/>
    <w:rsid w:val="00506249"/>
    <w:rsid w:val="00546047"/>
    <w:rsid w:val="00560106"/>
    <w:rsid w:val="00591509"/>
    <w:rsid w:val="005D15C5"/>
    <w:rsid w:val="005D538E"/>
    <w:rsid w:val="00605F04"/>
    <w:rsid w:val="006459F6"/>
    <w:rsid w:val="00657A4D"/>
    <w:rsid w:val="00677932"/>
    <w:rsid w:val="00685163"/>
    <w:rsid w:val="0069486A"/>
    <w:rsid w:val="006A2EAA"/>
    <w:rsid w:val="006B6C1F"/>
    <w:rsid w:val="006C0F99"/>
    <w:rsid w:val="006C2FE3"/>
    <w:rsid w:val="00700838"/>
    <w:rsid w:val="00707166"/>
    <w:rsid w:val="00753AFF"/>
    <w:rsid w:val="0076055A"/>
    <w:rsid w:val="0076183D"/>
    <w:rsid w:val="007643B3"/>
    <w:rsid w:val="0076482C"/>
    <w:rsid w:val="007D532F"/>
    <w:rsid w:val="008253F9"/>
    <w:rsid w:val="00830BB6"/>
    <w:rsid w:val="00875A1E"/>
    <w:rsid w:val="008911EE"/>
    <w:rsid w:val="008F1E90"/>
    <w:rsid w:val="009515BF"/>
    <w:rsid w:val="00961EF3"/>
    <w:rsid w:val="009B4273"/>
    <w:rsid w:val="00A421E6"/>
    <w:rsid w:val="00A944EA"/>
    <w:rsid w:val="00AF21FB"/>
    <w:rsid w:val="00B62D21"/>
    <w:rsid w:val="00B655B8"/>
    <w:rsid w:val="00B660D1"/>
    <w:rsid w:val="00B74B0B"/>
    <w:rsid w:val="00C15698"/>
    <w:rsid w:val="00C272C3"/>
    <w:rsid w:val="00C37D38"/>
    <w:rsid w:val="00C55D23"/>
    <w:rsid w:val="00C7647B"/>
    <w:rsid w:val="00CA5929"/>
    <w:rsid w:val="00D10F2A"/>
    <w:rsid w:val="00D113B7"/>
    <w:rsid w:val="00D365B1"/>
    <w:rsid w:val="00D75616"/>
    <w:rsid w:val="00DA2A49"/>
    <w:rsid w:val="00DC7F62"/>
    <w:rsid w:val="00DD286C"/>
    <w:rsid w:val="00E170AC"/>
    <w:rsid w:val="00E51DA8"/>
    <w:rsid w:val="00E6030E"/>
    <w:rsid w:val="00EC7F23"/>
    <w:rsid w:val="00F00EE7"/>
    <w:rsid w:val="00F3537E"/>
    <w:rsid w:val="00F43D18"/>
    <w:rsid w:val="00F818B4"/>
    <w:rsid w:val="00F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0124D-7686-4E32-A5C0-CD0FE551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D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2F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2F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2FF3"/>
    <w:rPr>
      <w:vertAlign w:val="superscript"/>
    </w:rPr>
  </w:style>
  <w:style w:type="character" w:styleId="lev">
    <w:name w:val="Strong"/>
    <w:basedOn w:val="Policepardfaut"/>
    <w:uiPriority w:val="22"/>
    <w:qFormat/>
    <w:rsid w:val="006459F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459F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43D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monde.fr/idees/article_interactif/2005/12/09/declaration-universelle-sur-la-laicite-au-xxie-siecle_718769_323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86D6-A6F1-4941-9054-107FFCC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Baubérot</dc:creator>
  <cp:keywords/>
  <dc:description/>
  <cp:lastModifiedBy>Jean Baubérot</cp:lastModifiedBy>
  <cp:revision>2</cp:revision>
  <dcterms:created xsi:type="dcterms:W3CDTF">2016-05-20T15:09:00Z</dcterms:created>
  <dcterms:modified xsi:type="dcterms:W3CDTF">2016-05-20T15:09:00Z</dcterms:modified>
</cp:coreProperties>
</file>